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dominio, capacidades, actores y boceto C4 Context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(diapositivas 5-8)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LabEx Docker Playground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r>
        <w:rPr>
          <w:b w:val="0"/>
          <w:color w:val="4A4A49"/>
          <w:sz w:val="22"/>
        </w:rPr>
        <w:t xml:space="preserve">Referencia de slides: </w:t>
      </w:r>
      <w:r>
        <w:rPr>
          <w:rFonts w:ascii="Consolas" w:hAnsi="Consolas"/>
          <w:color w:val="111111"/>
          <w:sz w:val="21"/>
        </w:rPr>
        <w:t>Clases/Clase 1 - Introduccion a arquitecturas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dominio, capacidades, actores y boceto C4 Context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pPr>
        <w:spacing w:before="200" w:after="60"/>
      </w:pPr>
      <w:r>
        <w:rPr>
          <w:b/>
          <w:color w:val="1A1C1D"/>
          <w:sz w:val="32"/>
        </w:rPr>
        <w:t>55–100 · Taller guiado PI (individual)</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Number"/>
      </w:pPr>
      <w:r>
        <w:rPr>
          <w:b w:val="0"/>
          <w:color w:val="4A4A49"/>
          <w:sz w:val="22"/>
        </w:rPr>
        <w:t>Paso 2: liste exactamente 4 capacidades con la forma verbo mas objeto de negocio (reservar cita, publicar cupo, cancelar reserva, notificar recordatorio), 3 actores humanos con lo que espera cada uno, 2 o 3 sistemas externos con los que CloudLite intercambia informacion (por ejemplo proveedor de identidad, correo transaccional o pasarela de pagos)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Number"/>
      </w:pPr>
      <w:r>
        <w:rPr>
          <w:b w:val="0"/>
          <w:color w:val="4A4A49"/>
          <w:sz w:val="22"/>
        </w:rPr>
        <w:t>Paso 3: escriba en la pregunta de tipo diagrama de ExamLab el C4 Context en Mermaid con exactamente 1 System para CloudLite, 2 Person, 2 System_Ext y 5 relaciones etiquetadas con verbo de negocio y protocolo, verificando al renderizar dentro de la plataforma que no aparezca ninguna caja interna (ni base de datos ni API ni worker, eso es Clase 4) y que cada flecha se lea en voz alta como una frase completa.</w:t>
      </w:r>
    </w:p>
    <w:p>
      <w:pPr>
        <w:pStyle w:val="ListNumber"/>
      </w:pPr>
      <w:r>
        <w:rPr>
          <w:b w:val="0"/>
          <w:color w:val="4A4A49"/>
          <w:sz w:val="22"/>
        </w:rPr>
        <w:t>Paso 4: resuelva la tabla comparativa de 4 filas nube frente a on-premise, cierre con el veredicto de 2 frases que sera la entrada del ADR-001 de la Clase 2, y suba a ExamLab (modulo Talleres) las 5 preguntas resueltas antes del domingo 23:59, verificando que la ficha, el diagrama renderizado y el veredicto usen exactamente los mismos nombres de actores y de sistemas externos.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(https://examlab.lovable.app/).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