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left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Solución Taller Clase 13 — Autoescalado</w:t>
      </w:r>
    </w:p>
    <w:p>
      <w:pPr>
        <w:spacing w:after="120"/>
        <w:jc w:val="center"/>
        <w:shd w:val="clear" w:fill="FBE4E4"/>
      </w:pPr>
      <w:r>
        <w:rPr>
          <w:rFonts w:ascii="Calibri" w:hAnsi="Calibri" w:eastAsia="Calibri"/>
          <w:b/>
          <w:color w:val="A02030"/>
          <w:sz w:val="22"/>
        </w:rPr>
        <w:t>DOCUMENTO DOCENTE — PRIVADO (no va en Clases/)</w:t>
      </w:r>
    </w:p>
    <w:p>
      <w:pPr>
        <w:spacing w:after="120"/>
        <w:jc w:val="left"/>
        <w:shd w:val="clear" w:fill="E8F4FA"/>
      </w:pPr>
      <w:r>
        <w:rPr>
          <w:rFonts w:ascii="Calibri" w:hAnsi="Calibri" w:eastAsia="Calibri"/>
          <w:b w:val="0"/>
          <w:color w:val="2B2B2B"/>
          <w:sz w:val="22"/>
        </w:rPr>
        <w:t>API horizontal; DB no escala igual.</w:t>
      </w:r>
    </w:p>
    <w:p>
      <w:pPr>
        <w:spacing w:after="120"/>
        <w:jc w:val="left"/>
      </w:pPr>
      <w:r>
        <w:rPr>
          <w:rFonts w:ascii="Calibri" w:hAnsi="Calibri" w:eastAsia="Calibri"/>
          <w:b/>
          <w:color w:val="095292"/>
          <w:sz w:val="24"/>
        </w:rPr>
        <w:t>Alineacion al enunciado estudiante</w:t>
      </w:r>
    </w:p>
    <w:p>
      <w:pPr>
        <w:pStyle w:val="ListBullet"/>
      </w:pPr>
      <w:r>
        <w:rPr>
          <w:rFonts w:ascii="Calibri" w:hAnsi="Calibri" w:eastAsia="Calibri"/>
          <w:b w:val="0"/>
          <w:color w:val="2B2B2B"/>
          <w:sz w:val="22"/>
        </w:rPr>
        <w:t>Taller estudiante: Clases/Clase 13 - Escalabilidad automatica/Actividad autónoma Clase 13 — Autoescalado CloudLite.docx</w:t>
      </w:r>
    </w:p>
    <w:p>
      <w:pPr>
        <w:pStyle w:val="ListBullet"/>
      </w:pPr>
      <w:r>
        <w:rPr>
          <w:rFonts w:ascii="Calibri" w:hAnsi="Calibri" w:eastAsia="Calibri"/>
          <w:b w:val="0"/>
          <w:color w:val="2B2B2B"/>
          <w:sz w:val="22"/>
        </w:rPr>
        <w:t>Hito PI: Documentar politica de autoescalado conceptual CloudLite</w:t>
      </w:r>
    </w:p>
    <w:p>
      <w:pPr>
        <w:pStyle w:val="ListBullet"/>
      </w:pPr>
      <w:r>
        <w:rPr>
          <w:rFonts w:ascii="Calibri" w:hAnsi="Calibri" w:eastAsia="Calibri"/>
          <w:b w:val="0"/>
          <w:color w:val="2B2B2B"/>
          <w:sz w:val="22"/>
        </w:rPr>
        <w:t>Entregable: Seccion Escalabilidad: triggers, limites, que escala y que no</w:t>
      </w:r>
    </w:p>
    <w:p>
      <w:pPr>
        <w:spacing w:after="120"/>
        <w:jc w:val="left"/>
      </w:pPr>
      <w:r>
        <w:rPr>
          <w:rFonts w:ascii="Calibri" w:hAnsi="Calibri" w:eastAsia="Calibri"/>
          <w:b/>
          <w:color w:val="095292"/>
          <w:sz w:val="24"/>
        </w:rPr>
        <w:t>Solucion paso a paso</w:t>
      </w:r>
    </w:p>
    <w:p>
      <w:pPr>
        <w:pStyle w:val="ListBullet"/>
      </w:pPr>
      <w:r>
        <w:rPr>
          <w:rFonts w:ascii="Calibri" w:hAnsi="Calibri" w:eastAsia="Calibri"/>
          <w:b w:val="0"/>
          <w:color w:val="2B2B2B"/>
          <w:sz w:val="22"/>
        </w:rPr>
        <w:t>Política API min/max/triggers.</w:t>
      </w:r>
    </w:p>
    <w:p>
      <w:pPr>
        <w:pStyle w:val="ListBullet"/>
      </w:pPr>
      <w:r>
        <w:rPr>
          <w:rFonts w:ascii="Calibri" w:hAnsi="Calibri" w:eastAsia="Calibri"/>
          <w:b w:val="0"/>
          <w:color w:val="2B2B2B"/>
          <w:sz w:val="22"/>
        </w:rPr>
        <w:t>NO escala: DB primaria.</w:t>
      </w:r>
    </w:p>
    <w:p>
      <w:pPr>
        <w:pStyle w:val="ListBullet"/>
      </w:pPr>
      <w:r>
        <w:rPr>
          <w:rFonts w:ascii="Calibri" w:hAnsi="Calibri" w:eastAsia="Calibri"/>
          <w:b w:val="0"/>
          <w:color w:val="2B2B2B"/>
          <w:sz w:val="22"/>
        </w:rPr>
        <w:t>Nota costo.</w:t>
      </w:r>
    </w:p>
    <w:p>
      <w:pPr>
        <w:pStyle w:val="ListBullet"/>
      </w:pPr>
      <w:r>
        <w:rPr>
          <w:rFonts w:ascii="Calibri" w:hAnsi="Calibri" w:eastAsia="Calibri"/>
          <w:b w:val="0"/>
          <w:color w:val="2B2B2B"/>
          <w:sz w:val="22"/>
        </w:rPr>
        <w:t>Sección Escalabilidad.</w:t>
      </w:r>
    </w:p>
    <w:p>
      <w:pPr>
        <w:spacing w:after="120"/>
        <w:jc w:val="left"/>
      </w:pPr>
      <w:r>
        <w:rPr>
          <w:rFonts w:ascii="Calibri" w:hAnsi="Calibri" w:eastAsia="Calibri"/>
          <w:b/>
          <w:color w:val="095292"/>
          <w:sz w:val="24"/>
        </w:rPr>
        <w:t>Ejemplo / artefactos esperados</w:t>
      </w:r>
    </w:p>
    <w:p>
      <w:pPr>
        <w:pStyle w:val="ListBullet"/>
      </w:pPr>
      <w:r>
        <w:rPr>
          <w:rFonts w:ascii="Calibri" w:hAnsi="Calibri" w:eastAsia="Calibri"/>
          <w:b w:val="0"/>
          <w:color w:val="2B2B2B"/>
          <w:sz w:val="22"/>
        </w:rPr>
        <w:t>ApiReservas H RPS&gt;40 min1 max4</w:t>
      </w:r>
    </w:p>
    <w:p>
      <w:pPr>
        <w:pStyle w:val="ListBullet"/>
      </w:pPr>
      <w:r>
        <w:rPr>
          <w:rFonts w:ascii="Calibri" w:hAnsi="Calibri" w:eastAsia="Calibri"/>
          <w:b w:val="0"/>
          <w:color w:val="2B2B2B"/>
          <w:sz w:val="22"/>
        </w:rPr>
        <w:t>DbAgenda no auto 1/1</w:t>
      </w:r>
    </w:p>
    <w:p>
      <w:pPr>
        <w:spacing w:after="120"/>
        <w:jc w:val="left"/>
      </w:pPr>
      <w:r>
        <w:rPr>
          <w:rFonts w:ascii="Calibri" w:hAnsi="Calibri" w:eastAsia="Calibri"/>
          <w:b/>
          <w:color w:val="095292"/>
          <w:sz w:val="24"/>
        </w:rPr>
        <w:t>Rubrica corta / checklist de correccion</w:t>
      </w:r>
    </w:p>
    <w:p>
      <w:pPr>
        <w:pStyle w:val="ListBullet"/>
      </w:pPr>
      <w:r>
        <w:rPr>
          <w:rFonts w:ascii="Calibri" w:hAnsi="Calibri" w:eastAsia="Calibri"/>
          <w:b w:val="0"/>
          <w:color w:val="2B2B2B"/>
          <w:sz w:val="22"/>
        </w:rPr>
        <w:t>[ ] Política (4)</w:t>
      </w:r>
    </w:p>
    <w:p>
      <w:pPr>
        <w:pStyle w:val="ListBullet"/>
      </w:pPr>
      <w:r>
        <w:rPr>
          <w:rFonts w:ascii="Calibri" w:hAnsi="Calibri" w:eastAsia="Calibri"/>
          <w:b w:val="0"/>
          <w:color w:val="2B2B2B"/>
          <w:sz w:val="22"/>
        </w:rPr>
        <w:t>[ ] NO escala (3)</w:t>
      </w:r>
    </w:p>
    <w:p>
      <w:pPr>
        <w:pStyle w:val="ListBullet"/>
      </w:pPr>
      <w:r>
        <w:rPr>
          <w:rFonts w:ascii="Calibri" w:hAnsi="Calibri" w:eastAsia="Calibri"/>
          <w:b w:val="0"/>
          <w:color w:val="2B2B2B"/>
          <w:sz w:val="22"/>
        </w:rPr>
        <w:t>[ ] Costo (2)</w:t>
      </w:r>
    </w:p>
    <w:p>
      <w:pPr>
        <w:pStyle w:val="ListBullet"/>
      </w:pPr>
      <w:r>
        <w:rPr>
          <w:rFonts w:ascii="Calibri" w:hAnsi="Calibri" w:eastAsia="Calibri"/>
          <w:b w:val="0"/>
          <w:color w:val="2B2B2B"/>
          <w:sz w:val="22"/>
        </w:rPr>
        <w:t>[ ] Entrega (1)</w:t>
      </w:r>
    </w:p>
    <w:p>
      <w:pPr>
        <w:spacing w:after="120"/>
        <w:jc w:val="left"/>
      </w:pPr>
      <w:r>
        <w:rPr>
          <w:rFonts w:ascii="Calibri" w:hAnsi="Calibri" w:eastAsia="Calibri"/>
          <w:b/>
          <w:color w:val="095292"/>
          <w:sz w:val="24"/>
        </w:rPr>
        <w:t>Errores frecuentes</w:t>
      </w:r>
    </w:p>
    <w:p>
      <w:pPr>
        <w:pStyle w:val="ListBullet"/>
      </w:pPr>
      <w:r>
        <w:rPr>
          <w:rFonts w:ascii="Calibri" w:hAnsi="Calibri" w:eastAsia="Calibri"/>
          <w:b w:val="0"/>
          <w:color w:val="2B2B2B"/>
          <w:sz w:val="22"/>
        </w:rPr>
        <w:t>Escalar DB=API.</w:t>
      </w:r>
    </w:p>
    <w:p>
      <w:pPr>
        <w:pStyle w:val="ListBullet"/>
      </w:pPr>
      <w:r>
        <w:rPr>
          <w:rFonts w:ascii="Calibri" w:hAnsi="Calibri" w:eastAsia="Calibri"/>
          <w:b w:val="0"/>
          <w:color w:val="2B2B2B"/>
          <w:sz w:val="22"/>
        </w:rPr>
        <w:t>Sin techo max.</w:t>
      </w:r>
    </w:p>
    <w:p>
      <w:pPr>
        <w:spacing w:after="120"/>
        <w:jc w:val="left"/>
      </w:pPr>
      <w:r>
        <w:rPr>
          <w:rFonts w:ascii="Calibri" w:hAnsi="Calibri" w:eastAsia="Calibri"/>
          <w:b/>
          <w:color w:val="095292"/>
          <w:sz w:val="24"/>
        </w:rPr>
        <w:t>Entrega / politica</w:t>
      </w:r>
    </w:p>
    <w:p>
      <w:pPr>
        <w:spacing w:after="120"/>
        <w:jc w:val="left"/>
      </w:pPr>
      <w:r>
        <w:rPr>
          <w:rFonts w:ascii="Calibri" w:hAnsi="Calibri" w:eastAsia="Calibri"/>
          <w:b w:val="0"/>
          <w:color w:val="2B2B2B"/>
          <w:sz w:val="22"/>
        </w:rPr>
        <w:t>Entrega en ExamLab · gratis + navegador · sin cloud con tarjeta.</w:t>
      </w:r>
    </w:p>
    <w:sectPr w:rsidR="00FC693F" w:rsidRPr="0006063C" w:rsidSect="00034616">
      <w:pgSz w:w="12240" w:h="15840"/>
      <w:pgMar w:top="1008" w:right="1224" w:bottom="1008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