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Bases de Datos II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FI303215 · Grupo 641A-2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Patrón heredado de Prog. II / Seminario: PI continuo ABPr, 20% Corte 3. Enunciados viejos viven como .gdoc en Clase 1; aquí se materializa en Clases/Proyecto Integrador/ (estudiante) + Kit docente/Proyecto Integrador/.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Seguridad y respaldo → roles, privilegios, plan de backup/restore.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Procedimientos y disparadores → procs, funciones, triggers con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Optimización → índices, reescritura, evidencia antes/después.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(sesiones del calendario · 13 sesiones)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Material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 (doble)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11+12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Revisión de avance con checklist viva + empujar integración app↔BD y casos de prueba en el mismo bloque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 (autónoma)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13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Publicar el caso real y revisar la entrega asíncrona (dom 08/11)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presencial + ensayo de presentación PI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síncrona de sustentaciones: turnos, preguntas y cierre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 (calificar sobre 100 → escala a 20% del corte)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Modelo/DDL (20): normalización razonable, FK, constraints, nombres claros.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Seguridad/respaldo (15): al menos 2 roles con privilegios distintos; RPO/RTO en lenguaje simple; procedimiento de restore descrito.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Programables (25): triggers de auditoría o integridad; procs de negocio (agendar cita, registrar consulta, descontar stock).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 (15): EXPLAIN o narrativa equivalente en playground; índices justificados.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 (10): operaciones CRUD vía procs; no hace falta desplegar API real.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Informe+sustentación (15): 5–8 min; preguntas cruzadas al azar sobre cualquier parte del trabajo.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Enlace o ZIP: scripts .sql, diagrama,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Capturas de ejecución en Live SQL / DB Fiddle.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Reparto del guion por bloques temáticos (y, si hubo equipo autorizado, quién presentó qué).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Post-clase Padlet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usó Padlet en Clase 1: ⋯ → Clear posts → código → Delete (reutilizar cupo gratis).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