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Actividad autónoma Clase 10 — Costos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lo más caro suele ser lo que dejan encendido sin usar.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Costo cualitativo B/M/A es aceptable: no inventar precios USD de cloud de pago.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Estimación cualitativa de costos + notas de sostenibilidad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Sección Costos/Sostenibilidad del informe (bajo/medio + drivers)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Componentes: API, DB, object, CI, edge.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Drivers: idle, egress, storage, minutos CI.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Google Docs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construya en la pregunta 11 la tabla de costos con una fila por cada componente de su despliegue y las columnas componente, driver, nivel B/M/A y apalancamiento; verifique que cada driver sea una variable contable (horas encendidas, GB de salida, GB almacenados, minutos de CI) y no «el uso».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fuerce al menos un Alto y un Bajo con su justificacion. Marcar todo como Medio para no decidir es lo que la pregunta busca descartar, y ese criterio vale cero si todas las filas quedan iguales.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 en la pregunta 12 tres acciones de sostenibilidad, cada una con el artefacto donde se comprueba y como se comprueba; aplique la prueba de que otra persona pueda decir en seis meses, mirando el repositorio, si la accion se aplico.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ate al menos una de las tres acciones a un driver de costo de la pregunta 11 y suba la actividad completa del Corte 2 a ExamLab antes del domingo 23:59. Es una clase autonoma: no hay encuentro sincrono, y las dudas van por el foro.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¿Cada fila tiene driver (no solo "caro")?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¿Las 3 acciones son verificables en el PI?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¿Evitaron inventar facturas de AWS/GCP?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Talleres). Las preguntas de hoy son parte de UNA sola actividad, compartida con las Clases 6, 7 y 8: se guarda el avance de hoy y la actividad se entrega completa el domingo 23:59 de la semana de la Clase 10. No hay entrega este domingo.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Qué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Las preguntas 11 y 12 de la actividad del Corte 2, que la cierran. Clase autonoma: el estudiante construye la tabla de costos cualitativa de CloudLite y propone tres acciones de sostenibilidad verificables en sus propios artefactos.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2 preguntas y suman 25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11 - Respuesta escrita (16.25 pts):</w:t>
      </w:r>
      <w:r>
        <w:rPr>
          <w:rFonts w:ascii="Calibri" w:hAnsi="Calibri" w:eastAsia="Calibri"/>
          <w:b w:val="0"/>
          <w:color w:val="2B2B2B"/>
          <w:sz w:val="22"/>
        </w:rPr>
        <w:t xml:space="preserve"> Tabla de costos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12 - Respuesta escrita (8.75 pts):</w:t>
      </w:r>
      <w:r>
        <w:rPr>
          <w:rFonts w:ascii="Calibri" w:hAnsi="Calibri" w:eastAsia="Calibri"/>
          <w:b w:val="0"/>
          <w:color w:val="2B2B2B"/>
          <w:sz w:val="22"/>
        </w:rPr>
        <w:t xml:space="preserve"> Tres acciones de sostenibilidad tecnica.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