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9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D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Porque la primera vez que se instala VetCare en la clínica el archivo no existe y eso no es un error: es el estado inicial normal. Si cargar() revienta, la aplicación no abre nunca y el usuario queda bloqueado sin poder registrar la primera mascota. Devolviendo una lista vacía la aplicación arranca, permite registrar y al cerrar crea el archivo por primera vez.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Incumplió dos reglas: aceptar solo código que uno pueda explicar línea por línea, y volver a ejecutar el flujo completo después de cada cambio para verificar que el comportamiento no cambió. Debió aplicar un cambio a la vez, leerlo y explicarlo, correr el ciclo registrar-guardar-cerrar-abrir comparando el archivo antes y después, y dejar en REFACTOR.md qué aceptó, qué rechazó y por qué.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