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5 · Parcial 1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b w:val="0"/>
          <w:i/>
          <w:color w:val="111111"/>
          <w:sz w:val="20"/>
        </w:rPr>
        <w:t>Parciales/Parcial 1 - Ciclos de vida y metodologias.docx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 · </w:t>
      </w:r>
      <w:r>
        <w:rPr>
          <w:b/>
          <w:color w:val="4A4A49"/>
          <w:sz w:val="22"/>
        </w:rPr>
        <w:t>virtual sincrono por Meet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b w:val="0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