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ADR-001 — la plantilla completa cabe en una pagina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IaaS · PaaS · SaaS (sin cloud de pago)</w:t>
      </w:r>
    </w:p>
    <w:p>
      <w:pPr>
        <w:pStyle w:val="ListBullet"/>
      </w:pPr>
      <w:r>
        <w:rPr>
          <w:b w:val="0"/>
          <w:color w:val="4A4A49"/>
          <w:sz w:val="22"/>
        </w:rPr>
        <w:t>Cómo decidir para CloudLite</w:t>
      </w:r>
    </w:p>
    <w:p>
      <w:pPr>
        <w:pStyle w:val="ListBullet"/>
      </w:pPr>
      <w:r>
        <w:rPr>
          <w:b w:val="0"/>
          <w:color w:val="4A4A49"/>
          <w:sz w:val="22"/>
        </w:rPr>
        <w:t>Plantilla ADR-001</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 xml:space="preserve">Narra los clics en voz alta. Si falla la red, proyecta las capturas de </w:t>
      </w:r>
      <w:r>
        <w:rPr>
          <w:rFonts w:ascii="Consolas" w:hAnsi="Consolas"/>
          <w:color w:val="111111"/>
          <w:sz w:val="21"/>
        </w:rPr>
        <w:t>Kit docente/Clase 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 xml:space="preserve">Paso 2: construya en la pregunta 5 la matriz </w:t>
      </w:r>
      <w:r>
        <w:rPr>
          <w:rFonts w:ascii="Consolas" w:hAnsi="Consolas"/>
          <w:color w:val="111111"/>
          <w:sz w:val="21"/>
        </w:rPr>
        <w:t>Criterio | IaaS | PaaS | SaaS</w:t>
      </w:r>
      <w:r>
        <w:rPr>
          <w:b w:val="0"/>
          <w:color w:val="4A4A49"/>
          <w:sz w:val="22"/>
        </w:rPr>
        <w:t xml:space="preserve">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titulo, estado con fecha,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