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La validacion que justifica usar un procedimiento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Pregunta al aire (2 min): ¿como se conecta esto con su VetCare?</w:t>
      </w:r>
    </w:p>
    <w:p>
      <w:pPr>
        <w:spacing w:before="200" w:after="60"/>
      </w:pPr>
      <w:r>
        <w:rPr>
          <w:b/>
          <w:color w:val="1A1C1D"/>
          <w:sz w:val="32"/>
        </w:rPr>
        <w:t>35-55 · Demo paso a paso · [Slide 7]</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