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el modelo VetCare, ¿qué diferencia PK de FK?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No hay diferencia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PK identifica la fila; FK referencia otra PK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FK solo sirve para índices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PK es solo texto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¿Cuáles son entidades mínimas típicas del PI VetCare?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Solo Factura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Dueño, Mascota, Cita (y relacionadas)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logs de servidor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Solo usuarios LMS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El ER del PI se entrega en draw.io (PNG/SVG) como evidencia visual, no solo como párrafo.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Normalización 1–3FN se aplica en el PI solo donde aporta al modelo VetCare (no teoría aislada).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Regla de negocio típica VetCare: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Mascota inactiva puede agendar sin control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Stock puede ser negativo sin auditar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Mascota inactiva no agenda; stock ≥ 0; auditoría sensible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Sin reglas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El diagnóstico de Clase 1 evalúa la plataforma de entrega, no saberes previos de BD 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Nombre 3 entidades de su ER VetCare y una FK entre dos de ellas.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Escriba en una frase el alcance SI / NO de su PI esta semana.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