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VetCare.</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r>
        <w:rPr>
          <w:b/>
          <w:color w:val="4A4A49"/>
          <w:sz w:val="22"/>
        </w:rPr>
        <w:t>[Slide 12] El contrato y sus seis partes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VetCare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[Slide 23] El contrato de la capa de API: siempre parametros ligados</w:t>
      </w:r>
      <w:r>
        <w:rPr>
          <w:b w:val="0"/>
          <w:color w:val="4A4A49"/>
          <w:sz w:val="22"/>
        </w:rPr>
        <w:t xml:space="preserve"> — 13 vinetas.</w:t>
      </w:r>
    </w:p>
    <w:p>
      <w:r>
        <w:rPr>
          <w:b/>
          <w:color w:val="4A4A49"/>
          <w:sz w:val="22"/>
        </w:rPr>
        <w:t>[Slide 24] La inyeccion de SQL, explicada con las dos versiones</w:t>
      </w:r>
      <w:r>
        <w:rPr>
          <w:b w:val="0"/>
          <w:color w:val="4A4A49"/>
          <w:sz w:val="22"/>
        </w:rPr>
        <w:t xml:space="preserve"> — 11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(1/2)</w:t>
      </w:r>
    </w:p>
    <w:p>
      <w:pPr>
        <w:pStyle w:val="ListNumber"/>
      </w:pPr>
      <w:r>
        <w:rPr>
          <w:b w:val="0"/>
          <w:color w:val="4A4A49"/>
          <w:sz w:val="22"/>
        </w:rPr>
        <w:t>El contrato y sus seis partes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de la capa de API: siempre parametros ligados</w:t>
      </w:r>
    </w:p>
    <w:p>
      <w:pPr>
        <w:pStyle w:val="ListNumber"/>
      </w:pPr>
      <w:r>
        <w:rPr>
          <w:b w:val="0"/>
          <w:color w:val="4A4A49"/>
          <w:sz w:val="22"/>
        </w:rPr>
        <w:t>La inyeccion de SQL, explicada con las dos versiones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26][Slide 27]</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