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 (1/2)</w:t>
      </w:r>
      <w:r>
        <w:rPr>
          <w:b w:val="0"/>
          <w:color w:val="4A4A49"/>
          <w:sz w:val="22"/>
        </w:rPr>
        <w:t xml:space="preserve"> — 5 vinetas.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Sustentar no es describir: el eje de toda la clase (2/2)</w:t>
      </w:r>
      <w:r>
        <w:rPr>
          <w:b w:val="0"/>
          <w:color w:val="4A4A49"/>
          <w:sz w:val="22"/>
        </w:rPr>
        <w:t xml:space="preserve"> — 2 vinetas.</w:t>
      </w:r>
    </w:p>
    <w:p>
      <w:r>
        <w:rPr>
          <w:b/>
          <w:color w:val="4A4A49"/>
          <w:sz w:val="22"/>
        </w:rPr>
        <w:t>[Slide 6] Las cuatro preguntas de por que que se hacen casi siempre (1/2)</w:t>
      </w:r>
      <w:r>
        <w:rPr>
          <w:b w:val="0"/>
          <w:color w:val="4A4A49"/>
          <w:sz w:val="22"/>
        </w:rPr>
        <w:t xml:space="preserve"> — 3 vinetas.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7] Las cuatro preguntas de por que que se hacen casi siempre (2/2)</w:t>
      </w:r>
      <w:r>
        <w:rPr>
          <w:b w:val="0"/>
          <w:color w:val="4A4A49"/>
          <w:sz w:val="22"/>
        </w:rPr>
        <w:t xml:space="preserve"> — 3 vinetas.</w:t>
      </w:r>
    </w:p>
    <w:p>
      <w:r>
        <w:rPr>
          <w:b/>
          <w:color w:val="4A4A49"/>
          <w:sz w:val="22"/>
        </w:rPr>
        <w:t>[Slide 8] La cuarta pregunta, la que mas se falla (1/2)</w:t>
      </w:r>
      <w:r>
        <w:rPr>
          <w:b w:val="0"/>
          <w:color w:val="4A4A49"/>
          <w:sz w:val="22"/>
        </w:rPr>
        <w:t xml:space="preserve"> — 3 vinetas.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9] La cuarta pregunta, la que mas se falla (2/2)</w:t>
      </w:r>
      <w:r>
        <w:rPr>
          <w:b w:val="0"/>
          <w:color w:val="4A4A49"/>
          <w:sz w:val="22"/>
        </w:rPr>
        <w:t xml:space="preserve"> — 3 vinetas.</w:t>
      </w:r>
    </w:p>
    <w:p>
      <w:r>
        <w:rPr>
          <w:b/>
          <w:color w:val="4A4A49"/>
          <w:sz w:val="22"/>
        </w:rPr>
        <w:t>[Slide 10] Reproducible: un tercero llega a la misma base sin hablar con el autor (1/3)</w:t>
      </w:r>
      <w:r>
        <w:rPr>
          <w:b w:val="0"/>
          <w:color w:val="4A4A49"/>
          <w:sz w:val="22"/>
        </w:rPr>
        <w:t xml:space="preserve"> — 5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11] Reproducible: un tercero llega a la misma base sin hablar con el autor (2/3)</w:t>
      </w:r>
      <w:r>
        <w:rPr>
          <w:b w:val="0"/>
          <w:color w:val="4A4A49"/>
          <w:sz w:val="22"/>
        </w:rPr>
        <w:t xml:space="preserve"> — 5 vinetas.</w:t>
      </w:r>
    </w:p>
    <w:p>
      <w:r>
        <w:rPr>
          <w:b/>
          <w:color w:val="4A4A49"/>
          <w:sz w:val="22"/>
        </w:rPr>
        <w:t>[Slide 12] Reproducible: un tercero llega a la misma base sin hablar con el autor (3/3)</w:t>
      </w:r>
      <w:r>
        <w:rPr>
          <w:b w:val="0"/>
          <w:color w:val="4A4A49"/>
          <w:sz w:val="22"/>
        </w:rPr>
        <w:t xml:space="preserve"> — 3 vinetas.</w:t>
      </w:r>
    </w:p>
    <w:p>
      <w:r>
        <w:rPr>
          <w:b/>
          <w:color w:val="4A4A49"/>
          <w:sz w:val="22"/>
        </w:rPr>
        <w:t>[Slide 13] El reparto de los 5 a 8 minutos (1/3)</w:t>
      </w:r>
      <w:r>
        <w:rPr>
          <w:b w:val="0"/>
          <w:color w:val="4A4A49"/>
          <w:sz w:val="22"/>
        </w:rPr>
        <w:t xml:space="preserve"> — 5 vinetas.</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r>
        <w:rPr>
          <w:b/>
          <w:color w:val="4A4A49"/>
          <w:sz w:val="22"/>
        </w:rPr>
        <w:t>[Slide 14] El reparto de los 5 a 8 minutos (2/3)</w:t>
      </w:r>
      <w:r>
        <w:rPr>
          <w:b w:val="0"/>
          <w:color w:val="4A4A49"/>
          <w:sz w:val="22"/>
        </w:rPr>
        <w:t xml:space="preserve"> — 4 vinetas.</w:t>
      </w:r>
    </w:p>
    <w:p>
      <w:r>
        <w:rPr>
          <w:b/>
          <w:color w:val="4A4A49"/>
          <w:sz w:val="22"/>
        </w:rPr>
        <w:t>[Slide 15] El reparto de los 5 a 8 minutos (3/3)</w:t>
      </w:r>
      <w:r>
        <w:rPr>
          <w:b w:val="0"/>
          <w:color w:val="4A4A49"/>
          <w:sz w:val="22"/>
        </w:rPr>
        <w:t xml:space="preserve"> — 2 vinetas.</w:t>
      </w:r>
    </w:p>
    <w:p>
      <w:r>
        <w:rPr>
          <w:b/>
          <w:color w:val="4A4A49"/>
          <w:sz w:val="22"/>
        </w:rPr>
        <w:t>[Slide 16] El Q&amp;A de modelado, con las respuestas listas (1/2)</w:t>
      </w:r>
      <w:r>
        <w:rPr>
          <w:b w:val="0"/>
          <w:color w:val="4A4A49"/>
          <w:sz w:val="22"/>
        </w:rPr>
        <w:t xml:space="preserve"> — 3 vinetas.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17] El Q&amp;A de modelado, con las respuestas listas (2/2)</w:t>
      </w:r>
      <w:r>
        <w:rPr>
          <w:b w:val="0"/>
          <w:color w:val="4A4A49"/>
          <w:sz w:val="22"/>
        </w:rPr>
        <w:t xml:space="preserve"> — 3 vinetas.</w:t>
      </w:r>
    </w:p>
    <w:p>
      <w:r>
        <w:rPr>
          <w:b/>
          <w:color w:val="4A4A49"/>
          <w:sz w:val="22"/>
        </w:rPr>
        <w:t>[Slide 18] El cierre del curso: conectar lo hecho con el trabajo real</w:t>
      </w:r>
      <w:r>
        <w:rPr>
          <w:b w:val="0"/>
          <w:color w:val="4A4A49"/>
          <w:sz w:val="22"/>
        </w:rPr>
        <w:t xml:space="preserve"> — 4 vinetas.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Sustentar no es describir: el eje de toda la clase (1/2)</w:t>
      </w:r>
    </w:p>
    <w:p>
      <w:pPr>
        <w:pStyle w:val="ListNumber"/>
      </w:pPr>
      <w:r>
        <w:rPr>
          <w:b w:val="0"/>
          <w:color w:val="4A4A49"/>
          <w:sz w:val="22"/>
        </w:rPr>
        <w:t>Sustentar no es describir: el eje de toda la clase (2/2)</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(1/3)</w:t>
      </w:r>
    </w:p>
    <w:p>
      <w:pPr>
        <w:pStyle w:val="ListNumber"/>
      </w:pPr>
      <w:r>
        <w:rPr>
          <w:b w:val="0"/>
          <w:color w:val="4A4A49"/>
          <w:sz w:val="22"/>
        </w:rPr>
        <w:t>Reproducible: un tercero llega a la misma base sin hablar con el autor (2/3)</w:t>
      </w:r>
    </w:p>
    <w:p>
      <w:pPr>
        <w:pStyle w:val="ListNumber"/>
      </w:pPr>
      <w:r>
        <w:rPr>
          <w:b w:val="0"/>
          <w:color w:val="4A4A49"/>
          <w:sz w:val="22"/>
        </w:rPr>
        <w:t>Reproducible: un tercero llega a la misma base sin hablar con el autor (3/3)</w:t>
      </w:r>
    </w:p>
    <w:p>
      <w:pPr>
        <w:pStyle w:val="ListNumber"/>
      </w:pPr>
      <w:r>
        <w:rPr>
          <w:b w:val="0"/>
          <w:color w:val="4A4A49"/>
          <w:sz w:val="22"/>
        </w:rPr>
        <w:t>El reparto de los 5 a 8 minutos (1/3)</w:t>
      </w:r>
    </w:p>
    <w:p>
      <w:pPr>
        <w:pStyle w:val="ListNumber"/>
      </w:pPr>
      <w:r>
        <w:rPr>
          <w:b w:val="0"/>
          <w:color w:val="4A4A49"/>
          <w:sz w:val="22"/>
        </w:rPr>
        <w:t>El reparto de los 5 a 8 minutos (2/3)</w:t>
      </w:r>
    </w:p>
    <w:p>
      <w:pPr>
        <w:pStyle w:val="ListNumber"/>
      </w:pPr>
      <w:r>
        <w:rPr>
          <w:b w:val="0"/>
          <w:color w:val="4A4A49"/>
          <w:sz w:val="22"/>
        </w:rPr>
        <w:t>El reparto de los 5 a 8 minutos (3/3)</w:t>
      </w:r>
    </w:p>
    <w:p>
      <w:pPr>
        <w:pStyle w:val="ListNumber"/>
      </w:pPr>
      <w:r>
        <w:rPr>
          <w:b w:val="0"/>
          <w:color w:val="4A4A49"/>
          <w:sz w:val="22"/>
        </w:rPr>
        <w:t>El Q&amp;A de modelado, con las respuestas listas (1/2)</w:t>
      </w:r>
    </w:p>
    <w:p>
      <w:pPr>
        <w:pStyle w:val="ListNumber"/>
      </w:pPr>
      <w:r>
        <w:rPr>
          <w:b w:val="0"/>
          <w:color w:val="4A4A49"/>
          <w:sz w:val="22"/>
        </w:rPr>
        <w:t>El Q&amp;A de modelado, con las respuestas listas (2/2)</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Reparto del bloque y logistica (no se proyecta)</w:t>
      </w:r>
    </w:p>
    <w:p>
      <w:pPr>
        <w:spacing w:before="200" w:after="60"/>
      </w:pPr>
      <w:r>
        <w:rPr>
          <w:b/>
          <w:color w:val="1A1C1D"/>
          <w:sz w:val="32"/>
        </w:rPr>
        <w:t>Evaluar con rubrica: puntos a evidencia observable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