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Costo en la nube se analiza aunque no haya facturacion real: cualitativamente en niveles Bajo/Medio/Alto por componente (ej. una base de datos gestionada = costo medio-alto por almacenamiento+computo constante; una funcion serverless que casi no se usa = costo bajo), identificando los DRIVERS de costo (que factor especifico hace subir el gasto: numero de instancias, volumen de datos, trafico de red saliente).</w:t>
      </w:r>
    </w:p>
    <w:p>
      <w:r>
        <w:rPr>
          <w:b w:val="0"/>
          <w:color w:val="4A4A49"/>
          <w:sz w:val="22"/>
        </w:rPr>
        <w:t>Sostenibilidad tecnica (no ambiental en este contexto) = right-sizing: no sobre-aprovisionar recursos "por si acaso" (una maquina grande corriendo al 5% de uso es desperdicio puro), usar labs/entornos temporales que se apagan cuando no se usan en vez de dejar todo corriendo 24/7, e imagenes de contenedor "slim" (minimas, sin paquetes innecesarios) que consumen menos storage y arrancan mas rapido.</w:t>
      </w:r>
    </w:p>
    <w:p>
      <w:r>
        <w:rPr>
          <w:b w:val="0"/>
          <w:color w:val="4A4A49"/>
          <w:sz w:val="22"/>
        </w:rPr>
        <w:t>Conexion directa con Clase 13 (escalabilidad): escalar automaticamente HACIA ARRIBA sin un limite o politica de apagado tambien escala el costo sin control — el diseño de autoescalado y el analisis de costo son la misma decision vista desde dos angulos.</w:t>
      </w:r>
    </w:p>
    <w:p>
      <w:r>
        <w:rPr>
          <w:b w:val="0"/>
          <w:color w:val="4A4A49"/>
          <w:sz w:val="22"/>
        </w:rPr>
        <w:t>Error de docente que no domina el tema: tratar el costo como un tema "de negocio, no tecnico" — las decisiones que mas impactan el costo (tipo de instancia, almacenamiento elegido, arquitectura con o sin colas/cache) son decisiones de arquitectura, tomadas por quien diseña el sistema.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No hay encuentro síncrono obligatorio. El estudiante trabaja con Presentacion.pptx + Taller.docx.</w:t>
      </w:r>
    </w:p>
    <w:p>
      <w:pPr>
        <w:spacing w:before="200" w:after="60"/>
      </w:pPr>
      <w:r>
        <w:rPr>
          <w:b/>
          <w:color w:val="1A1C1D"/>
          <w:sz w:val="32"/>
        </w:rPr>
        <w:t>Guion del docente (asíncrono)</w:t>
      </w:r>
    </w:p>
    <w:p>
      <w:pPr>
        <w:pStyle w:val="ListNumber"/>
      </w:pPr>
      <w:r>
        <w:rPr>
          <w:b w:val="0"/>
          <w:color w:val="4A4A49"/>
          <w:sz w:val="22"/>
        </w:rPr>
        <w:t>Publica en ExamLab (y Campus Virtual si aplica): diapositivas + taller + recordatorio del PI.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Duda por foro/correo institucional.»</w:t>
      </w:r>
    </w:p>
    <w:p>
      <w:pPr>
        <w:pStyle w:val="ListNumber"/>
      </w:pPr>
      <w:r>
        <w:rPr>
          <w:b w:val="0"/>
          <w:color w:val="4A4A49"/>
          <w:sz w:val="22"/>
        </w:rPr>
        <w:t>Revisa entregas domingo 23:59; deja feedback breve orientado a la rúbrica PI.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de diagrama/ADR; no adelantes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Tabla componente → driver de costo → nivel (B/M/A) → apalancamiento.</w:t>
      </w:r>
    </w:p>
    <w:p>
      <w:pPr>
        <w:pStyle w:val="ListNumber"/>
      </w:pPr>
      <w:r>
        <w:rPr>
          <w:b w:val="0"/>
          <w:color w:val="4A4A49"/>
          <w:sz w:val="22"/>
        </w:rPr>
        <w:t>3 acciones de sostenibilidad aplicables al diseño.</w:t>
      </w:r>
    </w:p>
    <w:p>
      <w:pPr>
        <w:pStyle w:val="ListNumber"/>
      </w:pPr>
      <w:r>
        <w:rPr>
          <w:b w:val="0"/>
          <w:color w:val="4A4A49"/>
          <w:sz w:val="22"/>
        </w:rPr>
        <w:t>Integre en el informe PI (1 página).</w:t>
      </w:r>
    </w:p>
    <w:p>
      <w:pPr>
        <w:pStyle w:val="ListNumber"/>
      </w:pPr>
      <w:r>
        <w:rPr>
          <w:b w:val="0"/>
          <w:color w:val="4A4A49"/>
          <w:sz w:val="22"/>
        </w:rPr>
        <w:t>Entrega domingo 23:59.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