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2: Modelos de servicio: IaaS, PaaS, SaaS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Actividad autónoma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Comparar IaaS, PaaS y SaaS con criterios de control, operación y velocidad.</w:t>
      </w:r>
    </w:p>
    <w:p>
      <w:pPr>
        <w:pStyle w:val="ListBullet"/>
      </w:pPr>
      <w:r>
        <w:rPr>
          <w:b w:val="0"/>
          <w:color w:val="4A4A49"/>
          <w:sz w:val="22"/>
        </w:rPr>
        <w:t>Elegir el modelo dominante de CloudLite con justificación.</w:t>
      </w:r>
    </w:p>
    <w:p>
      <w:pPr>
        <w:pStyle w:val="ListBullet"/>
      </w:pPr>
      <w:r>
        <w:rPr>
          <w:b w:val="0"/>
          <w:color w:val="4A4A49"/>
          <w:sz w:val="22"/>
        </w:rPr>
        <w:t>Documentar la decisión como ADR reutilizable en el informe PI.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Decidir modelo dominante (IaaS/PaaS/SaaS) para CloudLite + ADR breve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ADR-001: decisión de modelo de servicio + matriz de comparación aplicada al dominio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 · draw.io (opcional)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r>
        <w:rPr>
          <w:b w:val="0"/>
          <w:color w:val="4A4A49"/>
          <w:sz w:val="22"/>
        </w:rPr>
        <w:t>IaaS, PaaS y SaaS son niveles de abstraccion sobre la infraestructura, y cada uno mueve la linea de responsabilidad compartida (shared responsibility model): en IaaS (Infrastructure as a Service) el proveedor da solo maquinas/red/almacenamiento y el cliente administra sistema operativo, runtime y aplicacion; en PaaS (Platform as a Service) el proveedor tambien administra el sistema operativo y el runtime, el cliente solo sube su codigo; en SaaS (Software as a Service) el proveedor entrega la aplicacion completa y el cliente solo la usa (ej. Gmail).</w:t>
      </w:r>
    </w:p>
    <w:p>
      <w:r>
        <w:rPr>
          <w:b w:val="0"/>
          <w:color w:val="4A4A49"/>
          <w:sz w:val="22"/>
        </w:rPr>
        <w:t>Regla practica: mientras mas alto el nivel de abstraccion (SaaS &gt; PaaS &gt; IaaS), menos control tiene el cliente pero menos trabajo operativo asume. Para un MVP academico como CloudLite, un enfoque PaaS conceptual + contenedores suele ser el punto dulce: control suficiente para aprender arquitectura, sin la carga operativa de administrar servidores completos.</w:t>
      </w:r>
    </w:p>
    <w:p>
      <w:r>
        <w:rPr>
          <w:b w:val="0"/>
          <w:color w:val="4A4A49"/>
          <w:sz w:val="22"/>
        </w:rPr>
        <w:t>Un ADR (Architecture Decision Record) es un documento corto que registra UNA decision arquitectonica: el contexto/problema, las opciones consideradas, la decision tomada y las consecuencias (trade-offs aceptados). Obliga a hacer explicito el trade-off control-vs-velocidad en vez de elegir "porque si".</w:t>
      </w:r>
    </w:p>
    <w:p>
      <w:r>
        <w:rPr>
          <w:b w:val="0"/>
          <w:color w:val="4A4A49"/>
          <w:sz w:val="22"/>
        </w:rPr>
        <w:t>Error de docente que no domina el tema: presentar IaaS/PaaS/SaaS como si fueran productos especificos de una marca en vez de un modelo conceptual de responsabilidad — el modelo aplica igual a cualquier proveedor, la pregunta siempre es "quien administra que capa".</w:t>
      </w:r>
    </w:p>
    <w:p>
      <w:r>
        <w:rPr>
          <w:b w:val="0"/>
          <w:color w:val="4A4A49"/>
          <w:sz w:val="22"/>
        </w:rPr>
        <w:t xml:space="preserve">Referencia de slides: </w:t>
      </w:r>
      <w:r>
        <w:rPr>
          <w:rFonts w:ascii="Consolas" w:hAnsi="Consolas"/>
          <w:color w:val="111111"/>
          <w:sz w:val="21"/>
        </w:rPr>
        <w:t>Clases/Clase 2 - Modelos de servicio IaaS PaaS SaaS/Presentacion.pptx</w:t>
      </w:r>
      <w:r>
        <w:rPr>
          <w:b w:val="0"/>
          <w:color w:val="4A4A49"/>
          <w:sz w:val="22"/>
        </w:rPr>
        <w:t xml:space="preserve"> (solo tema de esta clase).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Modalidad autónoma (festivo)</w:t>
      </w:r>
    </w:p>
    <w:p>
      <w:r>
        <w:rPr>
          <w:b w:val="0"/>
          <w:color w:val="4A4A49"/>
          <w:sz w:val="22"/>
        </w:rPr>
        <w:t>No hay encuentro síncrono obligatorio. El estudiante trabaja con Presentacion.pptx + Taller.docx.</w:t>
      </w:r>
    </w:p>
    <w:p>
      <w:pPr>
        <w:spacing w:before="200" w:after="60"/>
      </w:pPr>
      <w:r>
        <w:rPr>
          <w:b/>
          <w:color w:val="1A1C1D"/>
          <w:sz w:val="32"/>
        </w:rPr>
        <w:t>Guion del docente (asíncrono)</w:t>
      </w:r>
    </w:p>
    <w:p>
      <w:pPr>
        <w:pStyle w:val="ListNumber"/>
      </w:pPr>
      <w:r>
        <w:rPr>
          <w:b w:val="0"/>
          <w:color w:val="4A4A49"/>
          <w:sz w:val="22"/>
        </w:rPr>
        <w:t>Publica en ExamLab (y Campus Virtual si aplica): diapositivas + taller + recordatorio del PI.</w:t>
      </w:r>
    </w:p>
    <w:p>
      <w:pPr>
        <w:pStyle w:val="ListNumber"/>
      </w:pPr>
      <w:r>
        <w:rPr>
          <w:b w:val="0"/>
          <w:color w:val="4A4A49"/>
          <w:sz w:val="22"/>
        </w:rPr>
        <w:t>Mensaje sugerido: «Clase 2 autónoma. Hoy avanzamos el PI en: Decidir modelo dominante (IaaS/PaaS/SaaS) para CloudLite + ADR breve.</w:t>
      </w:r>
    </w:p>
    <w:p>
      <w:r>
        <w:rPr>
          <w:b w:val="0"/>
          <w:color w:val="4A4A49"/>
          <w:sz w:val="22"/>
        </w:rPr>
        <w:t>Entregable: ADR-001: decisión de modelo de servicio + matriz de comparación aplicada al dominio. Duda por foro/correo institucional.»</w:t>
      </w:r>
    </w:p>
    <w:p>
      <w:pPr>
        <w:pStyle w:val="ListNumber"/>
      </w:pPr>
      <w:r>
        <w:rPr>
          <w:b w:val="0"/>
          <w:color w:val="4A4A49"/>
          <w:sz w:val="22"/>
        </w:rPr>
        <w:t>Revisa entregas domingo 23:59; deja feedback breve orientado a la rúbrica PI.</w:t>
      </w:r>
    </w:p>
    <w:p>
      <w:pPr>
        <w:spacing w:before="200" w:after="60"/>
      </w:pPr>
      <w:r>
        <w:rPr>
          <w:b/>
          <w:color w:val="1A1C1D"/>
          <w:sz w:val="32"/>
        </w:rPr>
        <w:t>Si ofreces office hours voluntario (opcional, 20–30 min)</w:t>
      </w:r>
    </w:p>
    <w:p>
      <w:r>
        <w:rPr>
          <w:b w:val="0"/>
          <w:color w:val="4A4A49"/>
          <w:sz w:val="22"/>
        </w:rPr>
        <w:t>Resuelve bloqueos de diagrama/ADR; no adelantes Parcial.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Lea las diapositivas y el enunciado del PI (Clases/Proyecto Integrador).</w:t>
      </w:r>
    </w:p>
    <w:p>
      <w:pPr>
        <w:pStyle w:val="ListNumber"/>
      </w:pPr>
      <w:r>
        <w:rPr>
          <w:b w:val="0"/>
          <w:color w:val="4A4A49"/>
          <w:sz w:val="22"/>
        </w:rPr>
        <w:t>Complete una matriz IaaS/PaaS/SaaS vs su dominio (control, costo cualitativo, operación, time-to-demo).</w:t>
      </w:r>
    </w:p>
    <w:p>
      <w:pPr>
        <w:pStyle w:val="ListNumber"/>
      </w:pPr>
      <w:r>
        <w:rPr>
          <w:b w:val="0"/>
          <w:color w:val="4A4A49"/>
          <w:sz w:val="22"/>
        </w:rPr>
        <w:t>Redacte ADR-001 (decisión dominante + 2 alternativas descartadas).</w:t>
      </w:r>
    </w:p>
    <w:p>
      <w:pPr>
        <w:pStyle w:val="ListNumber"/>
      </w:pPr>
      <w:r>
        <w:rPr>
          <w:b w:val="0"/>
          <w:color w:val="4A4A49"/>
          <w:sz w:val="22"/>
        </w:rPr>
        <w:t>Actualice el informe PI (sección «Modelo de servicio»).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Entrega domingo 23:59 en </w:t>
      </w:r>
      <w:r>
        <w:rPr>
          <w:b/>
          <w:color w:val="4A4A49"/>
          <w:sz w:val="22"/>
        </w:rPr>
        <w:t>ExamLab</w:t>
      </w:r>
      <w:r>
        <w:rPr>
          <w:b w:val="0"/>
          <w:color w:val="4A4A49"/>
          <w:sz w:val="22"/>
        </w:rPr>
        <w:t xml:space="preserve"> (Talleres) — mismo doc del PI o anexo.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integrante (muestreo).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b w:val="0"/>
          <w:color w:val="4A4A49"/>
          <w:sz w:val="22"/>
        </w:rPr>
        <w:t xml:space="preserve">Ver </w:t>
      </w:r>
      <w:r>
        <w:rPr>
          <w:rFonts w:ascii="Consolas" w:hAnsi="Consolas"/>
          <w:color w:val="111111"/>
          <w:sz w:val="21"/>
        </w:rPr>
        <w:t>Kit docente/Clase 2/Quiz Clase 2 - Modelos de servicio IaaS PaaS SaaS.docx</w:t>
      </w:r>
      <w:r>
        <w:rPr>
          <w:b w:val="0"/>
          <w:color w:val="4A4A49"/>
          <w:sz w:val="22"/>
        </w:rPr>
        <w:t xml:space="preserve"> (con respuestas).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Pantallazo: herramienta del día en uso con artefacto CloudLite</w:t>
      </w:r>
    </w:p>
    <w:p>
      <w:pPr>
        <w:shd w:val="clear" w:fill="F2F2F3"/>
      </w:pPr>
      <w:r>
        <w:rPr>
          <w:i/>
          <w:color w:val="4A4A49"/>
          <w:sz w:val="18"/>
        </w:rPr>
        <w:t>[  Inserta aquí la captura de pantalla  ]</w:t>
      </w:r>
    </w:p>
    <w:p>
      <w:pPr>
        <w:pStyle w:val="ListBullet"/>
      </w:pPr>
      <w:r>
        <w:rPr>
          <w:b w:val="0"/>
          <w:color w:val="4A4A49"/>
          <w:sz w:val="22"/>
        </w:rPr>
        <w:t>📸 Pantallazo: evidencia de entregable (diagrama/YAML/lab)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ExamLab (examlab.lovable.app/app). Campus Virtual sigue siendo el canal institucional.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