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5: Parcial 1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Tipo: </w:t>
      </w:r>
      <w:r>
        <w:rPr>
          <w:b/>
          <w:color w:val="4A4A49"/>
          <w:sz w:val="22"/>
        </w:rPr>
        <w:t>Solo evaluación (Parcial)</w:t>
      </w:r>
      <w:r>
        <w:rPr>
          <w:b w:val="0"/>
          <w:color w:val="4A4A49"/>
          <w:sz w:val="22"/>
        </w:rPr>
        <w:t xml:space="preserve"> — sin tema de trabajo dirigido nuevo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Proyecto Integrador: CloudLite App (hoy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se avanza con taller)</w:t>
      </w:r>
    </w:p>
    <w:p>
      <w:pPr>
        <w:spacing w:before="200" w:after="60"/>
      </w:pPr>
      <w:r>
        <w:rPr>
          <w:b/>
          <w:color w:val="1A1C1D"/>
          <w:sz w:val="32"/>
        </w:rPr>
        <w:t>Objetivo del bloque</w:t>
      </w:r>
    </w:p>
    <w:p>
      <w:r>
        <w:rPr>
          <w:b w:val="0"/>
          <w:color w:val="4A4A49"/>
          <w:sz w:val="22"/>
        </w:rPr>
        <w:t xml:space="preserve">Aplicar el instrumento de evaluación del corte. Material en </w:t>
      </w:r>
      <w:r>
        <w:rPr>
          <w:rFonts w:ascii="Consolas" w:hAnsi="Consolas"/>
          <w:color w:val="111111"/>
          <w:sz w:val="21"/>
        </w:rPr>
        <w:t>Parciales/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Organización</w:t>
      </w:r>
    </w:p>
    <w:p>
      <w:r>
        <w:rPr>
          <w:b w:val="0"/>
          <w:color w:val="4A4A49"/>
          <w:sz w:val="22"/>
        </w:rPr>
        <w:t>Di: «Hoy es solo Parcial. Guarden materiales del PI; no hay taller dirigido.»</w:t>
      </w:r>
    </w:p>
    <w:p>
      <w:r>
        <w:rPr>
          <w:b w:val="0"/>
          <w:color w:val="4A4A49"/>
          <w:sz w:val="22"/>
        </w:rPr>
        <w:t>Verificar asistencia y condiciones del aula/Meet presencial.</w:t>
      </w:r>
    </w:p>
    <w:p>
      <w:pPr>
        <w:spacing w:before="200" w:after="60"/>
      </w:pPr>
      <w:r>
        <w:rPr>
          <w:b/>
          <w:color w:val="1A1C1D"/>
          <w:sz w:val="32"/>
        </w:rPr>
        <w:t>10–100 · Aplicación del parcial</w:t>
      </w:r>
    </w:p>
    <w:p>
      <w:r>
        <w:rPr>
          <w:b w:val="0"/>
          <w:color w:val="4A4A49"/>
          <w:sz w:val="22"/>
        </w:rPr>
        <w:t>Distribuir enunciado. Silencio de evaluación. Resolver dudas de enunciado (no de contenido).</w:t>
      </w:r>
    </w:p>
    <w:p>
      <w:pPr>
        <w:spacing w:before="200" w:after="60"/>
      </w:pPr>
      <w:r>
        <w:rPr>
          <w:b/>
          <w:color w:val="1A1C1D"/>
          <w:sz w:val="32"/>
        </w:rPr>
        <w:t>100–115 · Recolección</w:t>
      </w:r>
    </w:p>
    <w:p>
      <w:r>
        <w:rPr>
          <w:b w:val="0"/>
          <w:color w:val="4A4A49"/>
          <w:sz w:val="22"/>
        </w:rPr>
        <w:t>Recoger evidencias / cierre de envío según modalidad del instrumento.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«Gracias. El PI CloudLite continúa en la siguiente clase regular o autónoma según el plan.»</w:t>
      </w:r>
    </w:p>
    <w:p>
      <w:pPr>
        <w:spacing w:before="200" w:after="60"/>
      </w:pPr>
      <w:r>
        <w:rPr>
          <w:b/>
          <w:color w:val="1A1C1D"/>
          <w:sz w:val="32"/>
        </w:rPr>
        <w:t>Notas</w:t>
      </w:r>
    </w:p>
    <w:p>
      <w:pPr>
        <w:pStyle w:val="ListBullet"/>
      </w:pPr>
      <w:r>
        <w:rPr>
          <w:b w:val="0"/>
          <w:color w:val="4A4A49"/>
          <w:sz w:val="22"/>
        </w:rPr>
        <w:t>No mezclar «Tema · Parcial».</w:t>
      </w:r>
    </w:p>
    <w:p>
      <w:pPr>
        <w:pStyle w:val="ListBullet"/>
      </w:pPr>
      <w:r>
        <w:rPr>
          <w:b w:val="0"/>
          <w:color w:val="4A4A49"/>
          <w:sz w:val="22"/>
        </w:rPr>
        <w:t>Prep de pitch/PI fue en la clase regular anterior.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