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Primera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Diseñe un instrumento que le permita explorar las características iniciales del grupo. Registre los resultados encontrados y las acciones que considere pertinentes. Entregue este documento a las direcciones de Programas/Áreas, a más tardar en la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segunda semana de clase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261"/>
        <w:gridCol w:w="984"/>
        <w:gridCol w:w="3410"/>
        <w:tblGridChange w:id="0">
          <w:tblGrid>
            <w:gridCol w:w="1234"/>
            <w:gridCol w:w="4261"/>
            <w:gridCol w:w="984"/>
            <w:gridCol w:w="3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Julian Andres Castaño Espinosa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Bases de Datos II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641A-2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2026-2</w:t>
            </w:r>
          </w:p>
        </w:tc>
      </w:tr>
    </w:tbl>
    <w:p w:rsidR="00000000" w:rsidDel="00000000" w:rsidP="00000000" w:rsidRDefault="00000000" w:rsidRPr="00000000" w14:paraId="0000000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75"/>
        <w:tblGridChange w:id="0">
          <w:tblGrid>
            <w:gridCol w:w="98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los conceptos previos y competencias que requiere el estudiante para el abordaje del curso que usted va a orientar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Prerrequisitos (conocimientos previos — no el temario avanzado del semestre):</w:t>
              <w:br/>
              <w:t>Modelo entidad-relación (entidades, atributos, relaciones, cardinalidad).</w:t>
              <w:br/>
              <w:t>Normalización básica (1FN–3FN) y claves (primaria, foránea, candidata).</w:t>
              <w:br/>
              <w:t>SQL fundamental: DDL/DML (CREATE/ALTER, INSERT/UPDATE/DELETE) y consultas SELECT con WHERE, JOIN, GROUP BY.</w:t>
              <w:br/>
              <w:t>Integridad referencial y restricciones (NOT NULL, UNIQUE, CHECK).</w:t>
              <w:br/>
              <w:t>Competencia: traducir un caso sencillo de negocio a un esquema relacional y consultas básicas en navegador (sin instalar SGBD local).</w:t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los hallazgos en el diagnostico académico aplicado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r>
              <w:t>[PENDIENTE] Aplicar en Clase 1 la prueba de conocimientos previos (Kit docente/Clase 1/Prueba Diagnostica…). Registrar nivel general, fortalezas y debilidades tras calificar. No inventar listado ni promedios hasta tener resultados reales.</w:t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las acciones tendientes a mejorar las dificultades encontradas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Aplicar prueba diagnóstica en Clase 1 (tras Presentación del curso / Padlet) y registrar hallazgos en este formato.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Reforzar SQL y modelo relacional en las primeras clases regulares con laboratorios en navegador (DB Fiddle / OneCompiler / Live SQL).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Metodología ABPr con Proyecto Integrador continuo de gestión avanzada de BD (seguridad, procedimientos, tuning).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Si el diagnóstico muestra debilidad en JOINs/normalización: micro-refuerzos de 10–15 min al inicio de Clases 2–4.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Ajustar acciones según hallazgos reales del diagnóstico de Clase 1.</w:t>
            </w:r>
          </w:p>
        </w:tc>
      </w:tr>
    </w:tbl>
    <w:p w:rsidR="00000000" w:rsidDel="00000000" w:rsidP="00000000" w:rsidRDefault="00000000" w:rsidRPr="00000000" w14:paraId="00000021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6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895"/>
        <w:gridCol w:w="3334"/>
        <w:gridCol w:w="894"/>
        <w:gridCol w:w="3642"/>
        <w:tblGridChange w:id="0">
          <w:tblGrid>
            <w:gridCol w:w="189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Julian Andres Castaño Espinosa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Nota Importante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Recuerde anexar el instrumento de evaluación diagnóstica.</w:t>
      </w:r>
    </w:p>
    <w:p w:rsidR="00000000" w:rsidDel="00000000" w:rsidP="00000000" w:rsidRDefault="00000000" w:rsidRPr="00000000" w14:paraId="0000002E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Segunda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Reporte los hallazgos en el desarrollo del curso, tenga en cuenta el análisis de los resultados de la primera parte del diagnóstico. Entregue este documento a las direcciones de Programas/Áreas, a más tardar en la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7 semana de clases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14"/>
        <w:gridCol w:w="1648"/>
        <w:gridCol w:w="1648"/>
        <w:gridCol w:w="551"/>
        <w:gridCol w:w="976"/>
        <w:gridCol w:w="121"/>
        <w:gridCol w:w="1648"/>
        <w:gridCol w:w="1649"/>
        <w:tblGridChange w:id="0">
          <w:tblGrid>
            <w:gridCol w:w="1234"/>
            <w:gridCol w:w="414"/>
            <w:gridCol w:w="1648"/>
            <w:gridCol w:w="1648"/>
            <w:gridCol w:w="551"/>
            <w:gridCol w:w="976"/>
            <w:gridCol w:w="121"/>
            <w:gridCol w:w="1648"/>
            <w:gridCol w:w="16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Julian Andres Castaño Espinosa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Bases de Datos II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gridSpan w:val="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641A-2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2026-2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2026-2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Matriculados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[PENDIENTE]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perdieron primer parcial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[PENDIENTE]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no presentaron el primer parcial 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[PENDIENTE]</w:t>
            </w:r>
          </w:p>
        </w:tc>
      </w:tr>
    </w:tbl>
    <w:p w:rsidR="00000000" w:rsidDel="00000000" w:rsidP="00000000" w:rsidRDefault="00000000" w:rsidRPr="00000000" w14:paraId="00000054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Reporte los resultados del primer parcial y las situaciones relevantes en el desarrollo del curso.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Completar tras el Parcial 1 / cierre del Corte 1.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¿Qué estudiantes con dificultades de tipo académico o actitudinal ha identificado en el curso?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Identificar estudiantes con dificultades académicas o actitudinales (sin inventar nombres).</w:t>
            </w:r>
          </w:p>
        </w:tc>
      </w:tr>
    </w:tbl>
    <w:p w:rsidR="00000000" w:rsidDel="00000000" w:rsidP="00000000" w:rsidRDefault="00000000" w:rsidRPr="00000000" w14:paraId="0000005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Registre las nuevas acciones tendientes a optimizar el desarrollo del curso.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Registrar nuevas acciones tras el análisis del primer parcial.</w:t>
            </w:r>
          </w:p>
        </w:tc>
      </w:tr>
    </w:tbl>
    <w:p w:rsidR="00000000" w:rsidDel="00000000" w:rsidP="00000000" w:rsidRDefault="00000000" w:rsidRPr="00000000" w14:paraId="0000006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6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895"/>
        <w:gridCol w:w="3334"/>
        <w:gridCol w:w="894"/>
        <w:gridCol w:w="3642"/>
        <w:tblGridChange w:id="0">
          <w:tblGrid>
            <w:gridCol w:w="189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Julian Andres Castaño Espinosa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Tercera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Reporte los resultados de su autoevaluación del desarrollo del curso. Entregue este documento a la dirección del Programa/Área, previo a la firma de paz y salvo.</w:t>
      </w:r>
    </w:p>
    <w:p w:rsidR="00000000" w:rsidDel="00000000" w:rsidP="00000000" w:rsidRDefault="00000000" w:rsidRPr="00000000" w14:paraId="00000072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261"/>
        <w:gridCol w:w="984"/>
        <w:gridCol w:w="3410"/>
        <w:tblGridChange w:id="0">
          <w:tblGrid>
            <w:gridCol w:w="1234"/>
            <w:gridCol w:w="4261"/>
            <w:gridCol w:w="984"/>
            <w:gridCol w:w="3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Julian Andres Castaño Espinosa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Bases de Datos II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641A-2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2026-2</w:t>
            </w:r>
          </w:p>
        </w:tc>
      </w:tr>
    </w:tbl>
    <w:p w:rsidR="00000000" w:rsidDel="00000000" w:rsidP="00000000" w:rsidRDefault="00000000" w:rsidRPr="00000000" w14:paraId="0000007F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793"/>
        <w:gridCol w:w="6096"/>
        <w:tblGridChange w:id="0">
          <w:tblGrid>
            <w:gridCol w:w="3793"/>
            <w:gridCol w:w="60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Matriculados 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perdieron la asignatura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no continuaron asistiendo a la asignatura o desertaron 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</w:tr>
    </w:tbl>
    <w:p w:rsidR="00000000" w:rsidDel="00000000" w:rsidP="00000000" w:rsidRDefault="00000000" w:rsidRPr="00000000" w14:paraId="0000008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¿Cuál fue el resultado de las acciones implementadas luego del segundo parcial? 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Completar al cierre del curso (post Parcial 2 / PI).</w:t>
            </w:r>
          </w:p>
        </w:tc>
      </w:tr>
    </w:tbl>
    <w:p w:rsidR="00000000" w:rsidDel="00000000" w:rsidP="00000000" w:rsidRDefault="00000000" w:rsidRPr="00000000" w14:paraId="0000008C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¿Qué aspectos del desarrollo del microcurrículo quedaron inconclusos?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Reportar aspectos del microcurrículo inconclusos, si aplica.</w:t>
            </w:r>
          </w:p>
        </w:tc>
      </w:tr>
    </w:tbl>
    <w:p w:rsidR="00000000" w:rsidDel="00000000" w:rsidP="00000000" w:rsidRDefault="00000000" w:rsidRPr="00000000" w14:paraId="0000009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Haga un registro de las estrategias implementadas durante el desarrollo del curso que requiere revisión.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Registrar estrategias implementadas y lecciones aprendidas.</w:t>
            </w:r>
          </w:p>
        </w:tc>
      </w:tr>
    </w:tbl>
    <w:p w:rsidR="00000000" w:rsidDel="00000000" w:rsidP="00000000" w:rsidRDefault="00000000" w:rsidRPr="00000000" w14:paraId="0000009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Recomendaciones: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Recomendaciones para el Programa / próxima oferta.</w:t>
            </w:r>
          </w:p>
        </w:tc>
      </w:tr>
    </w:tbl>
    <w:p w:rsidR="00000000" w:rsidDel="00000000" w:rsidP="00000000" w:rsidRDefault="00000000" w:rsidRPr="00000000" w14:paraId="0000009D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2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5"/>
        <w:gridCol w:w="3334"/>
        <w:gridCol w:w="894"/>
        <w:gridCol w:w="3642"/>
        <w:tblGridChange w:id="0">
          <w:tblGrid>
            <w:gridCol w:w="195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Julian Andres Castaño Espinosa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5842" w:w="12242" w:orient="portrait"/>
      <w:pgMar w:bottom="1418" w:top="2211" w:left="1134" w:right="1134" w:header="851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362075" cy="590550"/>
          <wp:effectExtent b="0" l="0" r="0" t="0"/>
          <wp:docPr id="103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b="0" l="0" r="0" t="0"/>
              <wp:wrapNone/>
              <wp:docPr id="102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b="0" l="0" r="0" t="0"/>
              <wp:wrapNone/>
              <wp:docPr id="102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DIAGNÓSTICO Y SEGUIMIENTO ACADÉMICO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362075" cy="590550"/>
          <wp:effectExtent b="0" l="0" r="0" t="0"/>
          <wp:docPr id="103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b="0" l="0" r="0" t="0"/>
              <wp:wrapNone/>
              <wp:docPr id="1030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b="0" l="0" r="0" t="0"/>
              <wp:wrapNone/>
              <wp:docPr id="103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DIAGNÓSTICO Y SEGUIMIENTO ACADÉMICO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val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cvh4oZjl02LQWQIEwimrEwioFA==">CgMxLjA4AHIhMWJnTDJ5bzdqY2hpbzFfYjJoR0VvR1VDTTV3dDNnSHla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2021-03-12T15:04:00Z</dcterms:created>
  <dc:creator>Diana Carolina Rodríguez Ordoñez</dc:creator>
</cp:coreProperties>
</file>