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</w:pPr>
      <w:r>
        <w:rPr>
          <w:rFonts w:ascii="Calibri" w:hAnsi="Calibri"/>
          <w:b/>
          <w:color w:val="095292"/>
          <w:sz w:val="24"/>
        </w:rPr>
        <w:t>Institución Universitaria Antonio José Camacho — UNIAJC</w:t>
      </w:r>
    </w:p>
    <w:p>
      <w:pPr>
        <w:spacing w:after="80" w:before="0"/>
      </w:pPr>
      <w:r>
        <w:rPr>
          <w:rFonts w:ascii="Calibri" w:hAnsi="Calibri"/>
          <w:b/>
          <w:sz w:val="24"/>
        </w:rPr>
        <w:t>Diagnóstico de conocimientos previos — no califica corte; sirve para adecuar el ritmo.</w:t>
      </w:r>
    </w:p>
    <w:p>
      <w:pPr>
        <w:spacing w:after="80" w:before="0"/>
      </w:pPr>
      <w:r>
        <w:rPr>
          <w:rFonts w:ascii="Calibri" w:hAnsi="Calibri"/>
          <w:b/>
          <w:sz w:val="22"/>
        </w:rPr>
        <w:t>Prueba diagnóstica de entrada (Clase 1) · Bases de Datos II · FI303215</w:t>
      </w:r>
    </w:p>
    <w:p>
      <w:pPr>
        <w:spacing w:after="80" w:before="0"/>
      </w:pPr>
      <w:r>
        <w:rPr>
          <w:rFonts w:ascii="Calibri" w:hAnsi="Calibri"/>
          <w:b w:val="0"/>
          <w:sz w:val="20"/>
        </w:rPr>
        <w:t>Grupo: 641A-2  ·  Periodo: 2026-2  ·  Lunes 18:00–20:00</w:t>
      </w:r>
    </w:p>
    <w:p>
      <w:pPr>
        <w:spacing w:after="80" w:before="0"/>
      </w:pPr>
      <w:r>
        <w:rPr>
          <w:rFonts w:ascii="Calibri" w:hAnsi="Calibri"/>
          <w:b w:val="0"/>
          <w:sz w:val="20"/>
        </w:rPr>
        <w:t>Docente: Julian Andres Castaño Espinosa · julianacastano@profesores.uniajc.edu.co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Nombre completo: ________________________________</w:t>
            </w:r>
          </w:p>
        </w:tc>
        <w:tc>
          <w:tcPr>
            <w:tcW w:type="dxa" w:w="5100"/>
          </w:tcPr>
          <w:p>
            <w:r>
              <w:t>Código / documento: ________________________________</w:t>
            </w:r>
          </w:p>
        </w:tc>
      </w:tr>
    </w:tbl>
    <w:p>
      <w:pPr>
        <w:spacing w:after="160" w:before="0"/>
      </w:pPr>
      <w:r>
        <w:rPr>
          <w:rFonts w:ascii="Calibri" w:hAnsi="Calibri"/>
          <w:b w:val="0"/>
          <w:sz w:val="20"/>
        </w:rPr>
        <w:t>Fecha (Clase 1): ________________  ·  Duración: ~25–30 min  ·  12–14 ítems</w:t>
      </w:r>
    </w:p>
    <w:p>
      <w:pPr>
        <w:spacing w:after="80" w:before="0"/>
      </w:pPr>
      <w:r>
        <w:rPr>
          <w:rFonts w:ascii="Calibri" w:hAnsi="Calibri"/>
          <w:b/>
          <w:color w:val="095292"/>
          <w:sz w:val="22"/>
        </w:rPr>
        <w:t>Propósito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Esta prueba mide saberes previos de Bases de Datos I (modelo relacional, SQL básico, integridad y normalización). No evalúa aún administración avanzada, tuning ni el temario nuevo del semestre. Diagnóstico de conocimientos previos — no califica corte; sirve para adecuar el ritmo.</w:t>
      </w:r>
    </w:p>
    <w:p>
      <w:pPr>
        <w:spacing w:after="160" w:before="0"/>
      </w:pPr>
      <w:r>
        <w:rPr>
          <w:rFonts w:ascii="Calibri" w:hAnsi="Calibri"/>
          <w:b w:val="0"/>
          <w:sz w:val="20"/>
        </w:rPr>
        <w:t>Indicaciones: una sola opción en selección; en abiertos escriba con letra clara. Herramientas de clase: gratis + navegador.</w:t>
      </w:r>
    </w:p>
    <w:p>
      <w:pPr>
        <w:spacing w:after="80" w:before="0"/>
      </w:pPr>
      <w:r>
        <w:rPr>
          <w:rFonts w:ascii="Calibri" w:hAnsi="Calibri"/>
          <w:b/>
          <w:color w:val="095292"/>
          <w:sz w:val="22"/>
        </w:rPr>
        <w:t>A. Modelo relacional y diseño (BD I)</w:t>
      </w:r>
    </w:p>
    <w:p>
      <w:pPr>
        <w:spacing w:after="80" w:before="0"/>
      </w:pPr>
      <w:r>
        <w:rPr>
          <w:rFonts w:ascii="Calibri" w:hAnsi="Calibri"/>
          <w:b w:val="0"/>
          <w:sz w:val="22"/>
        </w:rPr>
        <w:t>1. En un modelo ER, una relación N:M entre ESTUDIANTE y CURSO típicamente se implementa como:</w:t>
      </w:r>
    </w:p>
    <w:p>
      <w:pPr>
        <w:spacing w:after="20"/>
        <w:ind w:left="283"/>
      </w:pPr>
      <w:r>
        <w:rPr>
          <w:rFonts w:ascii="Calibri" w:hAnsi="Calibri"/>
          <w:b w:val="0"/>
          <w:sz w:val="20"/>
        </w:rPr>
        <w:t>○  Una sola tabla con ambos identificadores sin claves foráneas</w:t>
      </w:r>
    </w:p>
    <w:p>
      <w:pPr>
        <w:spacing w:after="20"/>
        <w:ind w:left="283"/>
      </w:pPr>
      <w:r>
        <w:rPr>
          <w:rFonts w:ascii="Calibri" w:hAnsi="Calibri"/>
          <w:b w:val="0"/>
          <w:sz w:val="20"/>
        </w:rPr>
        <w:t>○  Una tabla intermedia (asociación) con FKs a ambas entidades</w:t>
      </w:r>
    </w:p>
    <w:p>
      <w:pPr>
        <w:spacing w:after="20"/>
        <w:ind w:left="283"/>
      </w:pPr>
      <w:r>
        <w:rPr>
          <w:rFonts w:ascii="Calibri" w:hAnsi="Calibri"/>
          <w:b w:val="0"/>
          <w:sz w:val="20"/>
        </w:rPr>
        <w:t>○  Dos tablas sin ninguna relación física</w:t>
      </w:r>
    </w:p>
    <w:p>
      <w:pPr>
        <w:spacing w:after="20"/>
        <w:ind w:left="283"/>
      </w:pPr>
      <w:r>
        <w:rPr>
          <w:rFonts w:ascii="Calibri" w:hAnsi="Calibri"/>
          <w:b w:val="0"/>
          <w:sz w:val="20"/>
        </w:rPr>
        <w:t>○  Solo con un atributo multivaluado en ESTUDIANTE</w:t>
      </w:r>
    </w:p>
    <w:p>
      <w:pPr>
        <w:spacing w:after="80" w:before="0"/>
      </w:pPr>
      <w:r>
        <w:rPr>
          <w:rFonts w:ascii="Calibri" w:hAnsi="Calibri"/>
          <w:b w:val="0"/>
          <w:sz w:val="22"/>
        </w:rPr>
        <w:t>2. Explique en 2–3 líneas la diferencia entre clave primaria y clave foránea.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</w:t>
      </w:r>
    </w:p>
    <w:p>
      <w:pPr>
        <w:spacing w:after="80" w:before="0"/>
      </w:pPr>
      <w:r>
        <w:rPr>
          <w:rFonts w:ascii="Calibri" w:hAnsi="Calibri"/>
          <w:b w:val="0"/>
          <w:sz w:val="22"/>
        </w:rPr>
        <w:t>3. Una tabla está en 1FN si:</w:t>
      </w:r>
    </w:p>
    <w:p>
      <w:pPr>
        <w:spacing w:after="20"/>
        <w:ind w:left="283"/>
      </w:pPr>
      <w:r>
        <w:rPr>
          <w:rFonts w:ascii="Calibri" w:hAnsi="Calibri"/>
          <w:b w:val="0"/>
          <w:sz w:val="20"/>
        </w:rPr>
        <w:t>○  No tiene claves foráneas</w:t>
      </w:r>
    </w:p>
    <w:p>
      <w:pPr>
        <w:spacing w:after="20"/>
        <w:ind w:left="283"/>
      </w:pPr>
      <w:r>
        <w:rPr>
          <w:rFonts w:ascii="Calibri" w:hAnsi="Calibri"/>
          <w:b w:val="0"/>
          <w:sz w:val="20"/>
        </w:rPr>
        <w:t>○  Todos los atributos son atómicos (sin grupos repetitivos)</w:t>
      </w:r>
    </w:p>
    <w:p>
      <w:pPr>
        <w:spacing w:after="20"/>
        <w:ind w:left="283"/>
      </w:pPr>
      <w:r>
        <w:rPr>
          <w:rFonts w:ascii="Calibri" w:hAnsi="Calibri"/>
          <w:b w:val="0"/>
          <w:sz w:val="20"/>
        </w:rPr>
        <w:t>○  Está indexada</w:t>
      </w:r>
    </w:p>
    <w:p>
      <w:pPr>
        <w:spacing w:after="20"/>
        <w:ind w:left="283"/>
      </w:pPr>
      <w:r>
        <w:rPr>
          <w:rFonts w:ascii="Calibri" w:hAnsi="Calibri"/>
          <w:b w:val="0"/>
          <w:sz w:val="20"/>
        </w:rPr>
        <w:t>○  Usa únicamente tipos numéricos</w:t>
      </w:r>
    </w:p>
    <w:p>
      <w:pPr>
        <w:spacing w:after="80" w:before="0"/>
      </w:pPr>
      <w:r>
        <w:rPr>
          <w:rFonts w:ascii="Calibri" w:hAnsi="Calibri"/>
          <w:b w:val="0"/>
          <w:sz w:val="22"/>
        </w:rPr>
        <w:t>4. Indique en una frase qué busca la 3FN (idea general, sin formalismo).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</w:t>
      </w:r>
    </w:p>
    <w:p>
      <w:pPr>
        <w:spacing w:after="80" w:before="0"/>
      </w:pPr>
      <w:r>
        <w:rPr>
          <w:rFonts w:ascii="Calibri" w:hAnsi="Calibri"/>
          <w:b/>
          <w:color w:val="095292"/>
          <w:sz w:val="22"/>
        </w:rPr>
        <w:t>B. SQL fundamental (BD I)</w:t>
      </w:r>
    </w:p>
    <w:p>
      <w:pPr>
        <w:spacing w:after="80" w:before="0"/>
      </w:pPr>
      <w:r>
        <w:rPr>
          <w:rFonts w:ascii="Calibri" w:hAnsi="Calibri"/>
          <w:b w:val="0"/>
          <w:sz w:val="22"/>
        </w:rPr>
        <w:t>5. Escriba un SELECT que liste nombre y correo de la tabla cliente donde ciudad = 'Cali'.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</w:t>
      </w:r>
    </w:p>
    <w:p>
      <w:pPr>
        <w:spacing w:after="80" w:before="0"/>
      </w:pPr>
      <w:r>
        <w:rPr>
          <w:rFonts w:ascii="Calibri" w:hAnsi="Calibri"/>
          <w:b w:val="0"/>
          <w:sz w:val="22"/>
        </w:rPr>
        <w:t>6. ¿Qué hace un INNER JOIN entre pedido y cliente sobre cliente_id?</w:t>
      </w:r>
    </w:p>
    <w:p>
      <w:pPr>
        <w:spacing w:after="20"/>
        <w:ind w:left="283"/>
      </w:pPr>
      <w:r>
        <w:rPr>
          <w:rFonts w:ascii="Calibri" w:hAnsi="Calibri"/>
          <w:b w:val="0"/>
          <w:sz w:val="20"/>
        </w:rPr>
        <w:t>○  Devuelve todos los clientes aunque no tengan pedidos</w:t>
      </w:r>
    </w:p>
    <w:p>
      <w:pPr>
        <w:spacing w:after="20"/>
        <w:ind w:left="283"/>
      </w:pPr>
      <w:r>
        <w:rPr>
          <w:rFonts w:ascii="Calibri" w:hAnsi="Calibri"/>
          <w:b w:val="0"/>
          <w:sz w:val="20"/>
        </w:rPr>
        <w:t>○  Devuelve solo filas con coincidencia en ambas tablas</w:t>
      </w:r>
    </w:p>
    <w:p>
      <w:pPr>
        <w:spacing w:after="20"/>
        <w:ind w:left="283"/>
      </w:pPr>
      <w:r>
        <w:rPr>
          <w:rFonts w:ascii="Calibri" w:hAnsi="Calibri"/>
          <w:b w:val="0"/>
          <w:sz w:val="20"/>
        </w:rPr>
        <w:t>○  Elimina pedidos huérfanos automáticamente</w:t>
      </w:r>
    </w:p>
    <w:p>
      <w:pPr>
        <w:spacing w:after="20"/>
        <w:ind w:left="283"/>
      </w:pPr>
      <w:r>
        <w:rPr>
          <w:rFonts w:ascii="Calibri" w:hAnsi="Calibri"/>
          <w:b w:val="0"/>
          <w:sz w:val="20"/>
        </w:rPr>
        <w:t>○  Crea un índice compuesto</w:t>
      </w:r>
    </w:p>
    <w:p>
      <w:pPr>
        <w:spacing w:after="80" w:before="0"/>
      </w:pPr>
      <w:r>
        <w:rPr>
          <w:rFonts w:ascii="Calibri" w:hAnsi="Calibri"/>
          <w:b w:val="0"/>
          <w:sz w:val="22"/>
        </w:rPr>
        <w:t>7. Clasifique DDL o DML: (a) CREATE TABLE  (b) UPDATE  (c) ALTER TABLE  (d) INSERT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</w:t>
      </w:r>
    </w:p>
    <w:p>
      <w:pPr>
        <w:spacing w:after="80" w:before="0"/>
      </w:pPr>
      <w:r>
        <w:rPr>
          <w:rFonts w:ascii="Calibri" w:hAnsi="Calibri"/>
          <w:b w:val="0"/>
          <w:sz w:val="22"/>
        </w:rPr>
        <w:t>8. Escriba un ejemplo de agregación: contar pedidos por cliente (SELECT … GROUP BY).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</w:t>
      </w:r>
    </w:p>
    <w:p>
      <w:pPr>
        <w:spacing w:after="80" w:before="0"/>
      </w:pPr>
      <w:r>
        <w:rPr>
          <w:rFonts w:ascii="Calibri" w:hAnsi="Calibri"/>
          <w:b/>
          <w:color w:val="095292"/>
          <w:sz w:val="22"/>
        </w:rPr>
        <w:t>C. Integridad y restricciones (BD I)</w:t>
      </w:r>
    </w:p>
    <w:p>
      <w:pPr>
        <w:spacing w:after="80" w:before="0"/>
      </w:pPr>
      <w:r>
        <w:rPr>
          <w:rFonts w:ascii="Calibri" w:hAnsi="Calibri"/>
          <w:b w:val="0"/>
          <w:sz w:val="22"/>
        </w:rPr>
        <w:t>9. Si existe FK detalle_pedido.producto_id → producto.id, ¿qué suele impedir un DELETE del producto referenciado?</w:t>
      </w:r>
    </w:p>
    <w:p>
      <w:pPr>
        <w:spacing w:after="20"/>
        <w:ind w:left="283"/>
      </w:pPr>
      <w:r>
        <w:rPr>
          <w:rFonts w:ascii="Calibri" w:hAnsi="Calibri"/>
          <w:b w:val="0"/>
          <w:sz w:val="20"/>
        </w:rPr>
        <w:t>○  Un trigger de auditoría</w:t>
      </w:r>
    </w:p>
    <w:p>
      <w:pPr>
        <w:spacing w:after="20"/>
        <w:ind w:left="283"/>
      </w:pPr>
      <w:r>
        <w:rPr>
          <w:rFonts w:ascii="Calibri" w:hAnsi="Calibri"/>
          <w:b w:val="0"/>
          <w:sz w:val="20"/>
        </w:rPr>
        <w:t>○  La integridad referencial (restricción de FK)</w:t>
      </w:r>
    </w:p>
    <w:p>
      <w:pPr>
        <w:spacing w:after="20"/>
        <w:ind w:left="283"/>
      </w:pPr>
      <w:r>
        <w:rPr>
          <w:rFonts w:ascii="Calibri" w:hAnsi="Calibri"/>
          <w:b w:val="0"/>
          <w:sz w:val="20"/>
        </w:rPr>
        <w:t>○  El comando COMMIT</w:t>
      </w:r>
    </w:p>
    <w:p>
      <w:pPr>
        <w:spacing w:after="20"/>
        <w:ind w:left="283"/>
      </w:pPr>
      <w:r>
        <w:rPr>
          <w:rFonts w:ascii="Calibri" w:hAnsi="Calibri"/>
          <w:b w:val="0"/>
          <w:sz w:val="20"/>
        </w:rPr>
        <w:t>○  La normalización 2FN</w:t>
      </w:r>
    </w:p>
    <w:p>
      <w:pPr>
        <w:spacing w:after="80" w:before="0"/>
      </w:pPr>
      <w:r>
        <w:rPr>
          <w:rFonts w:ascii="Calibri" w:hAnsi="Calibri"/>
          <w:b w:val="0"/>
          <w:sz w:val="22"/>
        </w:rPr>
        <w:t>10. Relacione: NOT NULL / UNIQUE / CHECK — con: valor obligatorio / sin duplicados / regla de dominio.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</w:t>
      </w:r>
    </w:p>
    <w:p>
      <w:pPr>
        <w:spacing w:after="80" w:before="0"/>
      </w:pPr>
      <w:r>
        <w:rPr>
          <w:rFonts w:ascii="Calibri" w:hAnsi="Calibri"/>
          <w:b w:val="0"/>
          <w:sz w:val="22"/>
        </w:rPr>
        <w:t>11. ¿Qué problema de integridad aparece si hay pedidos con cliente_id que no existe en cliente?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</w:t>
      </w:r>
    </w:p>
    <w:p>
      <w:pPr>
        <w:spacing w:after="80" w:before="0"/>
      </w:pPr>
      <w:r>
        <w:rPr>
          <w:rFonts w:ascii="Calibri" w:hAnsi="Calibri"/>
          <w:b/>
          <w:color w:val="095292"/>
          <w:sz w:val="22"/>
        </w:rPr>
        <w:t>D. Caso corto (BD I)</w:t>
      </w:r>
    </w:p>
    <w:p>
      <w:pPr>
        <w:spacing w:after="80" w:before="0"/>
      </w:pPr>
      <w:r>
        <w:rPr>
          <w:rFonts w:ascii="Calibri" w:hAnsi="Calibri"/>
          <w:b w:val="0"/>
          <w:sz w:val="22"/>
        </w:rPr>
        <w:t>12. Una tienda necesita Producto(id, nombre, precio) y Venta(id, fecha, producto_id, cantidad). Liste PK/FK y un JOIN que sume cantidad por producto.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</w:t>
      </w:r>
    </w:p>
    <w:p>
      <w:pPr>
        <w:spacing w:after="80" w:before="0"/>
      </w:pPr>
      <w:r>
        <w:rPr>
          <w:rFonts w:ascii="Calibri" w:hAnsi="Calibri"/>
          <w:b w:val="0"/>
          <w:sz w:val="22"/>
        </w:rPr>
        <w:t>13. En una frase: diferencia entre entidad débil y entidad fuerte (idea de BD I).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</w:t>
      </w:r>
    </w:p>
    <w:p>
      <w:pPr>
        <w:spacing w:after="80" w:before="0"/>
      </w:pPr>
      <w:r>
        <w:rPr>
          <w:rFonts w:ascii="Calibri" w:hAnsi="Calibri"/>
          <w:b/>
          <w:color w:val="095292"/>
          <w:sz w:val="22"/>
        </w:rPr>
        <w:t>Cierre (metacognición — no califica)</w:t>
      </w:r>
    </w:p>
    <w:p>
      <w:pPr>
        <w:spacing w:after="80" w:before="0"/>
      </w:pPr>
      <w:r>
        <w:rPr>
          <w:rFonts w:ascii="Calibri" w:hAnsi="Calibri"/>
          <w:b w:val="0"/>
          <w:sz w:val="22"/>
        </w:rPr>
        <w:t>14. ¿Qué tema de BD I te sientes más sólido y cuál necesitas reforzar? (2–3 líneas)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sz w:val="18"/>
        </w:rPr>
        <w:t>Uso docente: aplicar en Clase 1 (tras Presentación del curso / Padlet). Registro institucional: Entregas docente/2026-2/DIAGNOSTICO…. No publicar en Clases/ hasta el día de aplicación.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