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3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¿Para qué sirve un procedimiento almacenado en VetCare?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formatear texto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Centralizar regla de negocio invocable desde la app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Reemplazar el ER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Dibujar el diagrama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Validación mínima de sp_agendar_cita: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Ninguna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Que la mascota exista y esté activa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validar el color del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Borrar stock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IN entra al procedimiento; OUT/devuelve resultado al llamador.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Es correcto duplicar la validación de negocio solo en la UI y nunca en la BD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Ventaja de invocar un proc desde la app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Oculta reglas y evita SQL suelto inconsistente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Impide transacciones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 índices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Obliga a SELECT *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procedimiento puede validar reglas y devolver mensaje/código de error controlado.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la firma (nombre + 2 parámetros) de su sp_agendar_cita.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¿Qué pasa si intentan agendar una mascota inactiva? (comportamiento esperado)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