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80" w:before="160"/>
        <w:jc w:val="center"/>
      </w:pPr>
      <w:r>
        <w:rPr>
          <w:rFonts w:ascii="Calibri" w:hAnsi="Calibri" w:eastAsia="Calibri"/>
          <w:b/>
          <w:color w:val="095292"/>
          <w:sz w:val="24"/>
        </w:rPr>
        <w:t>Bases de Datos II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Prog. II / Seminario: PI continuo ABPr, 20% Corte 3. Enunciado estudiante en Clases/Proyecto Integrador/; esta guía es privada.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(clases del plan)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avance: checklist viva, feedback en vivo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Empujar integración app↔BD y casos de prueba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presencial + ensayo de presentación PI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Sustentación/cierre: demos asíncronas o Meet corto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5–8 min; preguntas cruzadas al azar a miembros del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o ZIP: scripts .sql, diagrama,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integrantes y quién presentó qué.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