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Primera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semana de clase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75"/>
        <w:tblGridChange w:id="0">
          <w:tblGrid>
            <w:gridCol w:w="98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conceptos previos y competencias que requiere el estudiante para el abordaje del curso que usted va a orientar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Lógica algorítmica sólida (condicionales, ciclos for/while).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Comprensión básica de sintaxis de un lenguaje estructurado.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Identificación de variables y tipos de datos (primitivos y objetos).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Competencia: Capacidad de traducir problemas matemáticos/lógicos a secuencias de código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hallazgos en el diagnostico académico aplicado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Nivel general: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Promedio aceptable (3.8). Tienen bases lógicas de Programación I, pero muestran mucha dificultad al intentar aplicar el paradigma de Programación Orientada a Objetos (POO).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Fortalezas: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Buen dominio de condicionales y estructuras repetitivas simples.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Debilidades: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Confusión profunda entre "Clase" y "Objeto". Desconocen cómo funciona la memoria RAM para referencias (NullPointerException) y tienen nula experiencia previa con interfaces gráficas.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las acciones tendientes a mejorar las dificultades encontradas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la metodología "Aprender haciendo" con un Proyecto Integrador continuo ("VetCare") para que vean el impacto real de la POO.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analogías visuales fuertes (Ej. El molde de galletas vs La galleta) en los primeros 15 minutos de clase.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Dedicar las primeras semanas exclusivamente a estructuras en memoria (ArrayList, HashMap) antes de saltar a la interfaz gráfica.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Nota Importante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Recuerde anexar el instrumento de evaluación diagnóstica.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7 semana de clases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  <w:tblGridChange w:id="0">
          <w:tblGrid>
            <w:gridCol w:w="1234"/>
            <w:gridCol w:w="414"/>
            <w:gridCol w:w="1648"/>
            <w:gridCol w:w="1648"/>
            <w:gridCol w:w="551"/>
            <w:gridCol w:w="976"/>
            <w:gridCol w:w="121"/>
            <w:gridCol w:w="1648"/>
            <w:gridCol w:w="16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primer parcial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presentaron el primer parcial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Reporte los resultados del primer parcial y las situaciones relevantes en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rendimiento general del grupo en el primer parcial ha sido altamente satisfactorio, evidenciando un promedio de calificaciones sobresaliente. Los estudiantes han demostrado una sólida apropiación de los conceptos teóricos y su correcta aplicación en los componentes prácticos evaluados. Como situación relevante durante el desarrollo del curso, destaco la alta asistencia, el trabajo en equipo y el excelente nivel de motivación y participación activa que mantiene el grupo frente a las temáticas abordadas en las sesiones.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estudiantes con dificultades de tipo académico o actitudinal ha identificado en el curso?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momento, no se ha identificado a ningún estudiante que presente dificultades significativas de carácter académico o actitudinal. El grupo en su totalidad muestra una disposición proactiva, un alto sentido de la responsabilidad con las entregas y un trato respetuoso en el aula. Las inquietudes conceptuales o técnicas puntuales que han surgido se han resuelto de manera oportuna y efectiva durante las mismas clases, sin representar un riesgo para el progreso del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Registre las nuevas acciones tendientes a optimizar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el excelente ritmo de aprendizaje y la receptividad del grupo, se proyecta incorporar ejercicios prácticos con un nivel de exigencia ligeramente mayor para fomentar el pensamiento analítico y la resolución de problemas. Asimismo, se implementarán breves espacios de socialización y retroalimentación colectiva después de las evaluaciones principales, con el objetivo de fortalecer el aprendizaje colaborativo, compartir buenas prácticas y mantener el alto nivel de compromiso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Tercera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Reporte los resultados de su autoevaluación del desarrollo del curso. Entregue este documento a la dirección del Programa/Área, previo a la firma de paz y salvo.</w:t>
      </w:r>
    </w:p>
    <w:p w:rsidR="00000000" w:rsidDel="00000000" w:rsidP="00000000" w:rsidRDefault="00000000" w:rsidRPr="00000000" w14:paraId="0000007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Programacion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793"/>
        <w:gridCol w:w="6096"/>
        <w:tblGridChange w:id="0">
          <w:tblGrid>
            <w:gridCol w:w="3793"/>
            <w:gridCol w:w="60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la asignatura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continuaron asistiendo a la asignatura o desertaron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¿Cuál fue el resultado de las acciones implementadas luego del segundo parcial?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Altamente positivo. Las actividades de refuerzo y socialización permitieron consolidar los temas complejos, lo que se tradujo en el sostenimiento del buen rendimiento académico y una mayor seguridad del grupo en los componentes prácticos.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aspectos del desarrollo del microcurrículo quedaron inconclusos?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Ninguno. El cronograma se cumplió al 100%, logrando abordar la totalidad de las temáticas y competencias programadas gracias al buen ritmo de aprendizaje del grupo.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Haga un registro de las estrategias implementadas durante el desarrollo del curso que requiere revisión.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sugiere revisar y actualizar el banco de casos prácticos y los recursos técnicos de los talleres para los próximos ciclos, con el fin de incorporar herramientas más recientes, aun cuando la metodología actual funcionó con éxito.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Recomendaciones: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2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3334"/>
        <w:gridCol w:w="894"/>
        <w:gridCol w:w="3642"/>
        <w:tblGridChange w:id="0">
          <w:tblGrid>
            <w:gridCol w:w="195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Castaño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2" w:w="12242" w:orient="portrait"/>
      <w:pgMar w:bottom="1418" w:top="2211" w:left="1134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vh4oZjl02LQWQIEwimrEwioFA==">CgMxLjA4AHIhMWJnTDJ5bzdqY2hpbzFfYjJoR0VvR1VDTTV3dDNnSHla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2021-03-12T15:04:00Z</dcterms:created>
  <dc:creator>Diana Carolina Rodríguez Ordoñez</dc:creator>
</cp:coreProperties>
</file>