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de aplicacion · Clase 10 · Parcial 2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del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 y solucion: </w:t>
      </w:r>
      <w:r>
        <w:rPr>
          <w:rFonts w:ascii="Consolas" w:hAnsi="Consolas"/>
          <w:i/>
          <w:color w:val="111111"/>
          <w:sz w:val="20"/>
        </w:rPr>
        <w:t>Parciales/Parcial 2 - Eventos patrones QA y persistencia.docx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 · </w:t>
      </w:r>
      <w:r>
        <w:rPr>
          <w:b/>
          <w:color w:val="4A4A49"/>
          <w:sz w:val="22"/>
        </w:rPr>
        <w:t>presencial sincrono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de 10 min; revision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Recoleccion y cierre.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+ parcial» el mismo dia.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solucion es privada: archivo </w:t>
      </w:r>
      <w:r>
        <w:rPr>
          <w:rFonts w:ascii="Consolas" w:hAnsi="Consolas"/>
          <w:color w:val="111111"/>
          <w:sz w:val="21"/>
        </w:rPr>
        <w:t>* - SOLUCION.docx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El PI VetCare continua en la siguiente clase regular.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