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15 · Parcial 3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i/>
          <w:color w:val="111111"/>
          <w:sz w:val="20"/>
        </w:rPr>
        <w:t>Parciales/Parcial 3 - UML avanzado interfaces y proyecto.docx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 · </w:t>
      </w:r>
      <w:r>
        <w:rPr>
          <w:b/>
          <w:color w:val="4A4A49"/>
          <w:sz w:val="22"/>
        </w:rPr>
        <w:t>presencial sincrono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