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C1D"/>
          <w:sz w:val="44"/>
        </w:rPr>
        <w:t>Guia de aplicacion · Clase 10 · Parcial 2 (solo evaluacion)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 xml:space="preserve">Dia de </w:t>
      </w:r>
      <w:r>
        <w:rPr>
          <w:b/>
          <w:i/>
          <w:color w:val="4A4A49"/>
          <w:sz w:val="21"/>
        </w:rPr>
        <w:t>parcial = solo evaluacion</w:t>
      </w:r>
      <w:r>
        <w:rPr>
          <w:b w:val="0"/>
          <w:i/>
          <w:color w:val="4A4A49"/>
          <w:sz w:val="21"/>
        </w:rPr>
        <w:t>. No hay tema nuevo ni avance del PI en clase.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 xml:space="preserve">Enunciado y solucion: </w:t>
      </w:r>
      <w:r>
        <w:rPr>
          <w:rFonts w:ascii="Consolas" w:hAnsi="Consolas"/>
          <w:b w:val="0"/>
          <w:i/>
          <w:color w:val="111111"/>
          <w:sz w:val="20"/>
        </w:rPr>
        <w:t>Parciales/Parcial 2 - Requerimientos UML y casos de uso.docx</w:t>
      </w:r>
    </w:p>
    <w:p>
      <w:pPr>
        <w:pStyle w:val="ListBullet"/>
      </w:pPr>
      <w:r>
        <w:rPr>
          <w:b/>
          <w:color w:val="4A4A49"/>
          <w:sz w:val="22"/>
        </w:rPr>
        <w:t>Curso:</w:t>
      </w:r>
      <w:r>
        <w:rPr>
          <w:b w:val="0"/>
          <w:color w:val="4A4A49"/>
          <w:sz w:val="22"/>
        </w:rPr>
        <w:t xml:space="preserve"> Seminario de Sistemas (FI303301) · 120 min · </w:t>
      </w:r>
      <w:r>
        <w:rPr>
          <w:b/>
          <w:color w:val="4A4A49"/>
          <w:sz w:val="22"/>
        </w:rPr>
        <w:t>virtual sincrono por Meet</w:t>
      </w:r>
    </w:p>
    <w:p>
      <w:pPr>
        <w:spacing w:before="200" w:after="60"/>
      </w:pPr>
      <w:r>
        <w:rPr>
          <w:b/>
          <w:color w:val="1A1C1D"/>
          <w:sz w:val="32"/>
        </w:rPr>
        <w:t>Checklist 120 min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Min</w:t>
            </w:r>
          </w:p>
        </w:tc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Accion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0-10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Ingreso, asistencia, normas (sin material no autorizado).</w:t>
            </w:r>
          </w:p>
        </w:tc>
      </w:tr>
      <w:tr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10-15</w:t>
            </w:r>
          </w:p>
        </w:tc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Entregar enunciado. Aclarar tiempo y canal de dudas de forma.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15-100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Desarrollo del parcial (silencio de trabajo).</w:t>
            </w:r>
          </w:p>
        </w:tc>
      </w:tr>
      <w:tr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100-110</w:t>
            </w:r>
          </w:p>
        </w:tc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Aviso de 10 min; revision de integridad.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110-120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Recoleccion y cierre.</w:t>
            </w:r>
          </w:p>
        </w:tc>
      </w:tr>
    </w:tbl>
    <w:p/>
    <w:p>
      <w:pPr>
        <w:spacing w:before="200" w:after="60"/>
      </w:pPr>
      <w:r>
        <w:rPr>
          <w:b/>
          <w:color w:val="1A1C1D"/>
          <w:sz w:val="32"/>
        </w:rPr>
        <w:t>Notas</w:t>
      </w:r>
    </w:p>
    <w:p>
      <w:pPr>
        <w:pStyle w:val="ListBullet"/>
      </w:pPr>
      <w:r>
        <w:rPr>
          <w:b w:val="0"/>
          <w:color w:val="4A4A49"/>
          <w:sz w:val="22"/>
        </w:rPr>
        <w:t>No mezclar «tema + parcial» el mismo dia.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La solucion es privada: archivo </w:t>
      </w:r>
      <w:r>
        <w:rPr>
          <w:rFonts w:ascii="Consolas" w:hAnsi="Consolas"/>
          <w:b w:val="0"/>
          <w:color w:val="111111"/>
          <w:sz w:val="21"/>
        </w:rPr>
        <w:t>* - SOLUCION.docx</w:t>
      </w:r>
      <w:r>
        <w:rPr>
          <w:b w:val="0"/>
          <w:color w:val="4A4A49"/>
          <w:sz w:val="22"/>
        </w:rPr>
        <w:t xml:space="preserve"> en </w:t>
      </w:r>
      <w:r>
        <w:rPr>
          <w:rFonts w:ascii="Consolas" w:hAnsi="Consolas"/>
          <w:b w:val="0"/>
          <w:color w:val="111111"/>
          <w:sz w:val="21"/>
        </w:rPr>
        <w:t>Parciales/</w:t>
      </w:r>
      <w:r>
        <w:rPr>
          <w:b w:val="0"/>
          <w:color w:val="4A4A49"/>
          <w:sz w:val="22"/>
        </w:rPr>
        <w:t>.</w:t>
      </w:r>
    </w:p>
    <w:p>
      <w:pPr>
        <w:pStyle w:val="ListBullet"/>
      </w:pPr>
      <w:r>
        <w:rPr>
          <w:b w:val="0"/>
          <w:color w:val="4A4A49"/>
          <w:sz w:val="22"/>
        </w:rPr>
        <w:t>El PI VetCare continua en la siguiente clase regular.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