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11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PRIVADO. No proyectar.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A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C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[OM] C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Hacia adelante se verifica que todo requisito llegue a un caso de uso y a una clase: RF-05, consultar el expediente de una mascota, debe llegar a CU-02 Buscar expediente y a las clases Mascota y Consulta; si se pierde en el camino, el problema de Huellitas queda sin resolver. Hacia atras se verifica que todo elemento del diseño nazca de un requisito: si en la matriz CU-04 Agendar cita aparece sin RF de origen, hay que ligarlo al RF-08 del catalogo o eliminarlo del diagrama, porque nadie construye lo que nadie pidio.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Hallazgo de severidad bloqueante: en el diagrama de clases, Mascota almacena dueño como atributo de texto en lugar de asociarse con la clase Propietario, lo que impide cumplir RF-02 y duplica informacion cada vez que un propietario tiene varias mascotas. Criterio de cierre verificable: existe la asociacion Propietario uno a muchos Mascota con multiplicidad dibujada, el atributo de texto fue eliminado y el nombre Propietario reemplaza a Dueño en todos los artefactos segun el glosario canonico.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