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Solucion Taller · Clase 11 · VetCare</w:t>
      </w:r>
    </w:p>
    <w:p>
      <w:pPr>
        <w:spacing w:after="120"/>
        <w:shd w:val="clear" w:fill="FBE4E4"/>
      </w:pPr>
      <w:r>
        <w:rPr>
          <w:rFonts w:ascii="Calibri" w:hAnsi="Calibri" w:eastAsia="Calibri"/>
          <w:b/>
          <w:color w:val="A02030"/>
          <w:sz w:val="22"/>
        </w:rPr>
        <w:t>DOCUMENTO DOCENTE — PRIVADO (no va en Clases/)</w:t>
      </w:r>
    </w:p>
    <w:p>
      <w:pPr>
        <w:spacing w:after="120"/>
      </w:pPr>
      <w:r>
        <w:rPr>
          <w:rFonts w:ascii="Calibri" w:hAnsi="Calibri" w:eastAsia="Calibri"/>
          <w:b/>
          <w:color w:val="095292"/>
          <w:sz w:val="24"/>
        </w:rPr>
        <w:t>Avance del proyecto integrador</w:t>
      </w:r>
    </w:p>
    <w:p>
      <w:pPr>
        <w:spacing w:after="120"/>
      </w:pPr>
      <w:r>
        <w:rPr>
          <w:rFonts w:ascii="Calibri" w:hAnsi="Calibri" w:eastAsia="Calibri"/>
          <w:b/>
          <w:color w:val="095292"/>
          <w:sz w:val="24"/>
        </w:rPr>
        <w:t>Solucion paso a paso</w:t>
      </w:r>
    </w:p>
    <w:p>
      <w:pPr>
        <w:pStyle w:val="ListBullet"/>
        <w:spacing w:after="40"/>
      </w:pPr>
      <w:r>
        <w:rPr>
          <w:rFonts w:ascii="Calibri" w:hAnsi="Calibri" w:eastAsia="Calibri"/>
          <w:b w:val="0"/>
          <w:color w:val="2B2B2B"/>
          <w:sz w:val="22"/>
        </w:rPr>
        <w:t>Matriz de trazabilidad de VetCare diligenciada, fila por fila: RF-02 Registrar propietario lleva a CU-00, a la clase Propietario y al mockup M-01; RF-03 y RF-04 Registrar ficha y datos de la mascota llevan a CU-01 Registrar mascota, a las clases Mascota y Propietario y al mockup M-02; RF-05 Consultar el expediente de una mascota, con el RNF-02 de tres segundos asociado, lleva a CU-02 Buscar expediente, a las clases Mascota y Consulta y al mockup M-03; RF-06 Registrar la consulta medica lleva a CU-03, a las clases Consulta y Veterinario y al mockup M-05; RF-08 Agendar cita lleva a CU-04, a las clases Cita y Veterinario y al mockup M-04; RF-09 Reporte mensual de atenciones lleva a CU-05 Consultar indicadores, a las clases Consulta y Veterinario y al mockup M-06. Al llenarla aparecen las dos filas defectuosas del dia: RF-07 Recordatorio de cita no tiene caso de uso ni clase (huerfano), y la fila de CU-04 quedo sin RF diligenciado en el paquete revisado, de modo que el caso de uso parece viudo aunque el RF-08 exista en el catalogo.</w:t>
      </w:r>
    </w:p>
    <w:p>
      <w:pPr>
        <w:pStyle w:val="ListBullet"/>
        <w:spacing w:after="40"/>
      </w:pPr>
      <w:r>
        <w:rPr>
          <w:rFonts w:ascii="Calibri" w:hAnsi="Calibri" w:eastAsia="Calibri"/>
          <w:b w:val="0"/>
          <w:color w:val="2B2B2B"/>
          <w:sz w:val="22"/>
        </w:rPr>
        <w:t>Resolucion del huerfano RF-07, escrita como decision y no como intencion: el equipo elige entre dos caminos y lo deja firmado en el acta. Camino uno, crear CU-07 Enviar recordatorio de cita con el servicio de mensajeria como actor secundario, agregar la clase Notificacion con los atributos destinatario, canal, fechaEnvio y estado, y agregar la asociacion Cita uno a muchos Notificacion. Camino dos, declarar RF-07 fuera del alcance de este periodo y moverlo a la seccion de requisitos aplazados con la justificacion escrita: no hay proveedor de mensajeria definido ni presupuesto para el periodo. Lo inaceptable es dejarlo flotando en el catalogo como promesa sin respaldo, porque la clinica Huellitas ya lo leyo y cuenta con el.</w:t>
      </w:r>
    </w:p>
    <w:p>
      <w:pPr>
        <w:pStyle w:val="ListBullet"/>
        <w:spacing w:after="40"/>
      </w:pPr>
      <w:r>
        <w:rPr>
          <w:rFonts w:ascii="Calibri" w:hAnsi="Calibri" w:eastAsia="Calibri"/>
          <w:b w:val="0"/>
          <w:color w:val="2B2B2B"/>
          <w:sz w:val="22"/>
        </w:rPr>
        <w:t>Glosario canonico aplicado, con las filas exactas que deben quedar: Propietario, persona responsable de una o mas mascotas ante la clinica, sinonimos prohibidos Dueño, Cliente y Responsable; Mascota, animal atendido en la clinica identificado con codigo unico, prohibidos Paciente y Animalito; Cita, reserva de un horario futuro con un veterinario, prohibidos Turno y Agendamiento; Consulta, registro de una atencion medica ya realizada, prohibidos Visita y Atencion; Expediente, vista consolidada de ficha mas consultas mas vacunas de una mascota, con la aclaracion explicita de que no es una clase sino una vista, para que nadie cree una tabla Expediente en el diagrama de clases. Tras el renombramiento se corrigen tres artefactos concretos: la clase Dueño pasa a llamarse Propietario en el diagrama de clases, el rotulo Cliente del mockup M-02 pasa a Propietario, y el flujo alterno 2a de CU-01 deja de decir se crea el dueño y dice se registra el propietario.</w:t>
      </w:r>
    </w:p>
    <w:p>
      <w:pPr>
        <w:pStyle w:val="ListBullet"/>
        <w:spacing w:after="40"/>
      </w:pPr>
      <w:r>
        <w:rPr>
          <w:rFonts w:ascii="Calibri" w:hAnsi="Calibri" w:eastAsia="Calibri"/>
          <w:b w:val="0"/>
          <w:color w:val="2B2B2B"/>
          <w:sz w:val="22"/>
        </w:rPr>
        <w:t>Acta de revision entre pares con hallazgos escritos como hechos, no como opiniones. H-01, ubicacion diagrama de clases: la clase Consulta no tiene relacion con Veterinario, pero el flujo principal de CU-03 exige registrar quien atendio; severidad mayor. H-02, ubicacion matriz de trazabilidad fila 6: CU-04 Agendar cita aparece sin RF de origen, aunque el catalogo tiene el RF-08 Agendar cita sin enlazar; severidad mayor. H-03, ubicacion diagrama de clases, clase Mascota: guarda el atributo dueño en minuscula y de tipo texto, cuando debe ser una asociacion con la clase Propietario; severidad bloqueante. H-04, ubicacion especificacion de CU-02: el RNF-02 de tres segundos no esta referenciado en ninguna postcondicion; severidad menor. H-05, ubicacion catalogo de requisitos: RF-07 sin caso de uso ni clase; severidad mayor. H-06, ubicacion mockup M-02: el campo que la especificacion llama especie aparece rotulado como tipo de animal; severidad menor.</w:t>
      </w:r>
    </w:p>
    <w:p>
      <w:pPr>
        <w:pStyle w:val="ListBullet"/>
        <w:spacing w:after="40"/>
      </w:pPr>
      <w:r>
        <w:rPr>
          <w:rFonts w:ascii="Calibri" w:hAnsi="Calibri" w:eastAsia="Calibri"/>
          <w:b w:val="0"/>
          <w:color w:val="2B2B2B"/>
          <w:sz w:val="22"/>
        </w:rPr>
        <w:t>Backlog priorizado resultante, con responsable y criterio de cierre verificable: primero H-03, responsable el encargado del modelo estatico, cierra cuando la asociacion Propietario uno a muchos Mascota este dibujada con multiplicidad y el atributo de texto haya desaparecido; segundo H-01, mismo responsable, cierra cuando exista la asociacion entre Consulta y Veterinario con multiplicidad y el nombre del veterinario ya no se guarde como texto; tercero H-05, responsable el encargado de requisitos, cierra cuando RF-07 quede ligado a un CU-07 con su clase Notificacion o movido a la seccion de aplazados con justificacion escrita; cuarto H-02, mismo responsable, cierra cuando la fila de CU-04 en la matriz quede ligada a RF-08 Agendar cita; quinto H-04, cierra cuando la postcondicion de CU-02 mencione explicitamente el tiempo maximo de respuesta; sexto H-06, cierra cuando el mockup use el nombre canonico especie. Las dos primeras se aplican en la misma sesion y solo entonces el paquete se marca como consistente.</w:t>
      </w:r>
    </w:p>
    <w:p>
      <w:pPr>
        <w:spacing w:after="120"/>
      </w:pPr>
      <w:r>
        <w:rPr>
          <w:rFonts w:ascii="Calibri" w:hAnsi="Calibri" w:eastAsia="Calibri"/>
          <w:b/>
          <w:color w:val="095292"/>
          <w:sz w:val="24"/>
        </w:rPr>
        <w:t>Rubrica corta</w:t>
      </w:r>
    </w:p>
    <w:p>
      <w:pPr>
        <w:pStyle w:val="ListBullet"/>
        <w:spacing w:after="40"/>
      </w:pPr>
      <w:r>
        <w:rPr>
          <w:rFonts w:ascii="Calibri" w:hAnsi="Calibri" w:eastAsia="Calibri"/>
          <w:b w:val="0"/>
          <w:color w:val="2B2B2B"/>
          <w:sz w:val="22"/>
        </w:rPr>
        <w:t>[ ] Matriz de trazabilidad RF a CU a Clase completa y sin huerfanos (3)</w:t>
      </w:r>
    </w:p>
    <w:p>
      <w:pPr>
        <w:pStyle w:val="ListBullet"/>
        <w:spacing w:after="40"/>
      </w:pPr>
      <w:r>
        <w:rPr>
          <w:rFonts w:ascii="Calibri" w:hAnsi="Calibri" w:eastAsia="Calibri"/>
          <w:b w:val="0"/>
          <w:color w:val="2B2B2B"/>
          <w:sz w:val="22"/>
        </w:rPr>
        <w:t>[ ] Glosario de nombres canonicos aplicado efectivamente a los artefactos (2)</w:t>
      </w:r>
    </w:p>
    <w:p>
      <w:pPr>
        <w:pStyle w:val="ListBullet"/>
        <w:spacing w:after="40"/>
      </w:pPr>
      <w:r>
        <w:rPr>
          <w:rFonts w:ascii="Calibri" w:hAnsi="Calibri" w:eastAsia="Calibri"/>
          <w:b w:val="0"/>
          <w:color w:val="2B2B2B"/>
          <w:sz w:val="22"/>
        </w:rPr>
        <w:t>[ ] Acta de revision entre pares con hallazgos objetivos y severidad (3)</w:t>
      </w:r>
    </w:p>
    <w:p>
      <w:pPr>
        <w:pStyle w:val="ListBullet"/>
        <w:spacing w:after="40"/>
      </w:pPr>
      <w:r>
        <w:rPr>
          <w:rFonts w:ascii="Calibri" w:hAnsi="Calibri" w:eastAsia="Calibri"/>
          <w:b w:val="0"/>
          <w:color w:val="2B2B2B"/>
          <w:sz w:val="22"/>
        </w:rPr>
        <w:t>[ ] Backlog con responsable, criterio de cierre y bloqueantes ya corregidos (2)</w:t>
      </w:r>
    </w:p>
    <w:p>
      <w:pPr>
        <w:spacing w:after="120"/>
      </w:pPr>
      <w:r>
        <w:rPr>
          <w:rFonts w:ascii="Calibri" w:hAnsi="Calibri" w:eastAsia="Calibri"/>
          <w:b/>
          <w:color w:val="095292"/>
          <w:sz w:val="24"/>
        </w:rPr>
        <w:t>Errores frecuentes</w:t>
      </w:r>
    </w:p>
    <w:p>
      <w:pPr>
        <w:pStyle w:val="ListBullet"/>
        <w:spacing w:after="40"/>
      </w:pPr>
      <w:r>
        <w:rPr>
          <w:rFonts w:ascii="Calibri" w:hAnsi="Calibri" w:eastAsia="Calibri"/>
          <w:b w:val="0"/>
          <w:color w:val="2B2B2B"/>
          <w:sz w:val="22"/>
        </w:rPr>
        <w:t>Usar la sesion para seguir produciendo artefactos nuevos en lugar de auditar los existentes, de modo que el equipo termina con mas paginas y la misma cantidad de contradicciones.</w:t>
      </w:r>
    </w:p>
    <w:p>
      <w:pPr>
        <w:pStyle w:val="ListBullet"/>
        <w:spacing w:after="40"/>
      </w:pPr>
      <w:r>
        <w:rPr>
          <w:rFonts w:ascii="Calibri" w:hAnsi="Calibri" w:eastAsia="Calibri"/>
          <w:b w:val="0"/>
          <w:color w:val="2B2B2B"/>
          <w:sz w:val="22"/>
        </w:rPr>
        <w:t>Escribir hallazgos que son opiniones y no hechos, del estilo el diagrama esta desordenado o falta mas detalle, en vez de señalar la ubicacion exacta y la inconsistencia concreta entre dos artefactos.</w:t>
      </w:r>
    </w:p>
    <w:p>
      <w:pPr>
        <w:pStyle w:val="ListBullet"/>
        <w:spacing w:after="40"/>
      </w:pPr>
      <w:r>
        <w:rPr>
          <w:rFonts w:ascii="Calibri" w:hAnsi="Calibri" w:eastAsia="Calibri"/>
          <w:b w:val="0"/>
          <w:color w:val="2B2B2B"/>
          <w:sz w:val="22"/>
        </w:rPr>
        <w:t>Aceptar sinonimos por costumbre, dejando Dueño en el diagrama de clases porque asi se dibujo desde el principio, con lo cual el diccionario de datos y el trabajo de Programacion II terminan con dos conceptos donde solo debia haber uno.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