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14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Decision: Historia_Clinica se modela como clase independiente asociada a Mascota. Alternativa descartada: guardar diagnosticos y tratamientos como campos dentro de Mascota. Criterio: una mascota tiene muchas consultas a lo largo de su vida, es una relacion uno a muchos que no cabe en campos fijos y ademas se necesita el historial ordenado por fecha para las metricas. Consecuencia asumida: una entidad adicional y una consulta extra al abrir la ficha, aceptable porque el RNF de busqueda menor a tres segundos se sostiene con indice.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Pregunta esperada: como mide usted que la busqueda de expediente tarda menos de tres segundos. Respuesta: se cronometra la busqueda por documento del dueño sobre una base de prueba de cinco mil fichas y se exige que el promedio de diez intentos sea menor a tres segundos; si no se cumple, se agrega indice por documento y por codigo de ficha.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