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Guía docente · Proyecto Integrador — Arquitectura de Sistemas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6"/>
        </w:rPr>
        <w:t>Arquitectura de Sistemas Computacionales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FI303380 · Grupo 6303C · 2026-2</w:t>
      </w:r>
    </w:p>
    <w:p>
      <w:pPr>
        <w:spacing w:after="200" w:before="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rúbrica e hitos.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Contexto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Mismo patrón de peso (20% Corte 3) que Prog. II / Seminario. Enfoque microcurrículo: arquitecturas cloud, virtualización/contenedores, seguridad, rendimiento y sostenibilidad.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Alineación RAA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RAA1 IaaS/PaaS/SaaS → decisión de modelo de servicio en el informe.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RAA2 Virtualización y distribuidos → contenedores + diagrama de despliegue.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RAA3 Seguridad, rendimiento y sostenibilidad → secciones explícitas + escenario de escala.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Hitos docentes (sesiones del calendario · 13 sesiones)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Sesión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Material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 docente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 (doble)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26/10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Clases 11+12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Revisar diagramas v1 y bloquear dominios demasiado amplios + métricas/pruebas de rendimiento en el mismo bloque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11 (autónoma)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02/11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13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Publicar el ejercicio de autoescalado y revisar la entrega (dom 08/11)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12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09/11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14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Parcial 3 (solo evaluación: el ensayo de la sustentación fue en la sesión 10)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—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15/11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—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Cierra la entrega en ExamLab (domingo, 11:59 p. m.): cada integrante sube el .zip + enlace del equipo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13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16/11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15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síncrona de sustentaciones: turnos de 20 min (15 + 5), preguntas y cierre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Entrega y sustentación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Plazo único en ExamLab: domingo 15 de noviembre de 2026, 11:59 p. m.. Un solo archivo .zip —dentro puede ir cualquier tipo de archivo; máximo 50 MB—, y el repositorio de GitHub donde está el workflow, o la carpeta de Drive del equipo si el workflow se entrega solo como archivo (obligatorio).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Proyecto en equipo de 4 a 5 integrantes (máximo 5) —solo el proyecto: los demás entregables conservan su modalidad—. </w:t>
      </w:r>
      <w:r>
        <w:rPr>
          <w:rFonts w:ascii="Calibri" w:hAnsi="Calibri" w:eastAsia="Calibri"/>
          <w:b/>
          <w:color w:val="2B2B2B"/>
          <w:sz w:val="22"/>
        </w:rPr>
        <w:t>Cada integrante sube la entrega del equipo</w:t>
      </w:r>
      <w:r>
        <w:rPr>
          <w:rFonts w:ascii="Calibri" w:hAnsi="Calibri" w:eastAsia="Calibri"/>
          <w:b w:val="0"/>
          <w:color w:val="2B2B2B"/>
          <w:sz w:val="22"/>
        </w:rPr>
        <w:t xml:space="preserve"> desde su propia cuenta: el mismo .zip y el mismo enlace; una sola entrega por estudiante.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Sustentación: lunes 16/11/2026, en la última clase (sesión 13; es festivo, pero sí hay clase), por Meet: 15 minutos de exposición + 5 minutos de preguntas por equipo (turno de 20 minutos); hablan todos los integrantes.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 que deben mostrar: el diagrama de despliegue, el contenedor corriendo en el lab (o sus capturas, si la sesión del lab caducó) y el workflow con sus etapas.</w:t>
      </w:r>
    </w:p>
    <w:p>
      <w:pPr>
        <w:spacing w:after="80" w:before="160"/>
        <w:jc w:val="left"/>
      </w:pPr>
      <w:r>
        <w:rPr>
          <w:rFonts w:ascii="Calibri" w:hAnsi="Calibri" w:eastAsia="Calibri"/>
          <w:b/>
          <w:color w:val="269CCB"/>
          <w:sz w:val="22"/>
        </w:rPr>
        <w:t>Qué revisar en el .zip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En el .zip</w:t>
            </w:r>
          </w:p>
        </w:tc>
        <w:tc>
          <w:tcPr>
            <w:tcW w:type="dxa" w:w="734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debe traer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Documento de arquitectura</w:t>
            </w:r>
          </w:p>
        </w:tc>
        <w:tc>
          <w:tcPr>
            <w:tcW w:type="dxa" w:w="734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PDF o DOCX: contexto, ADRs breves, riesgos, costos estimados en lenguaje cualitativo y las secciones de seguridad, monitoreo, rendimiento y escalabilidad.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diagramas/</w:t>
            </w:r>
          </w:p>
        </w:tc>
        <w:tc>
          <w:tcPr>
            <w:tcW w:type="dxa" w:w="734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Componentes (C4), despliegue y flujo CI/CD, exportados en PNG, con su archivo fuente (.drawio o el texto Mermaid).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contenedores/</w:t>
            </w:r>
          </w:p>
        </w:tc>
        <w:tc>
          <w:tcPr>
            <w:tcW w:type="dxa" w:w="734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El Dockerfile o el docker-compose.yml, y las capturas del lab (LabEx Docker Playground o Killercoda) con la fecha visible.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.github/workflows/</w:t>
            </w:r>
          </w:p>
        </w:tc>
        <w:tc>
          <w:tcPr>
            <w:tcW w:type="dxa" w:w="734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El workflow de GitHub Actions (.yml) y el stub que compila y prueba.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Rúbrica detallada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Dominio/servicio (15): problema real, límites claros, no «todo AWS».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Diagramas (25): legibles, convenciones, separación de concerns.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Contenedores (20): lab reproducible; si el lab caduca, capturas + Dockerfile bastan.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CI/CD (15): stages claros; deploy puede ser «echo/simulate».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Seguridad/costos/escala (10): amenazas básicas, estimación cualitativa, autoescalado conceptual.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Sustentación (15): 15 min de exposición + 5 de preguntas al azar a cualquier integrante sobre cualquier parte; penalizar que hable solo uno.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