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rFonts w:ascii="Calibri" w:hAnsi="Calibri" w:eastAsia="Calibri"/>
          <w:b/>
          <w:color w:val="095292"/>
          <w:sz w:val="20"/>
        </w:rPr>
        <w:t>Institución Universitaria Antonio José Camacho — UNIAJC</w:t>
      </w:r>
    </w:p>
    <w:p>
      <w:pPr>
        <w:spacing w:after="160" w:before="200"/>
        <w:jc w:val="left"/>
        <w:shd w:val="clear" w:fill="095292"/>
      </w:pPr>
      <w:r>
        <w:rPr>
          <w:rFonts w:ascii="Calibri" w:hAnsi="Calibri" w:eastAsia="Calibri"/>
          <w:b/>
          <w:color w:val="FFFFFF"/>
          <w:sz w:val="26"/>
        </w:rPr>
        <w:t xml:space="preserve">  Guía docente · Proyecto de equipo — Introducción a la Ingeniería</w:t>
      </w:r>
    </w:p>
    <w:p>
      <w:pPr>
        <w:spacing w:after="120" w:before="160"/>
        <w:jc w:val="center"/>
      </w:pPr>
      <w:r>
        <w:rPr>
          <w:rFonts w:ascii="Calibri" w:hAnsi="Calibri" w:eastAsia="Calibri"/>
          <w:b/>
          <w:color w:val="095292"/>
          <w:sz w:val="26"/>
        </w:rPr>
        <w:t>Introducción a la Ingeniería</w:t>
      </w:r>
    </w:p>
    <w:p>
      <w:pPr>
        <w:spacing w:after="120" w:before="0"/>
        <w:jc w:val="center"/>
      </w:pPr>
      <w:r>
        <w:rPr>
          <w:rFonts w:ascii="Calibri" w:hAnsi="Calibri" w:eastAsia="Calibri"/>
          <w:b/>
          <w:color w:val="2B2B2B"/>
          <w:sz w:val="22"/>
        </w:rPr>
        <w:t>FI300101 · Grupo SB141B · SB141C · LB141F · 2026-2</w:t>
      </w:r>
    </w:p>
    <w:p>
      <w:pPr>
        <w:spacing w:after="200" w:before="0"/>
        <w:jc w:val="center"/>
        <w:shd w:val="clear" w:fill="FBE4E4"/>
      </w:pPr>
      <w:r>
        <w:rPr>
          <w:rFonts w:ascii="Calibri" w:hAnsi="Calibri" w:eastAsia="Calibri"/>
          <w:b/>
          <w:color w:val="A02030"/>
          <w:sz w:val="20"/>
        </w:rPr>
        <w:t>DOCUMENTO DOCENTE — No distribuir a estudiantes. Incluye rúbrica e hitos.</w:t>
      </w:r>
    </w:p>
    <w:p>
      <w:pPr>
        <w:spacing w:after="120" w:before="240"/>
        <w:jc w:val="left"/>
      </w:pPr>
      <w:r>
        <w:rPr>
          <w:rFonts w:ascii="Calibri" w:hAnsi="Calibri" w:eastAsia="Calibri"/>
          <w:b/>
          <w:color w:val="095292"/>
          <w:sz w:val="24"/>
        </w:rPr>
        <w:t>Contexto</w:t>
      </w:r>
    </w:p>
    <w:p>
      <w:pPr>
        <w:spacing w:after="120" w:before="0"/>
        <w:jc w:val="left"/>
      </w:pPr>
      <w:r>
        <w:rPr>
          <w:rFonts w:ascii="Calibri" w:hAnsi="Calibri" w:eastAsia="Calibri"/>
          <w:b w:val="0"/>
          <w:color w:val="2B2B2B"/>
          <w:sz w:val="22"/>
        </w:rPr>
        <w:t>Tres grupos (SB141B, SB141C, LB141F), 11 sesiones cada uno, 16 Clases de microcurrículo (5 sesiones dobles). El proyecto es de EQUIPO (4 a 5 integrantes, máximo 5), sin dominio fijo: cada equipo elige su problema real desde la ficha semilla de la Clase 1. Ver «config/calendario/introduccion_ingenieria_2026_2.json» para el calendario real de cada grupo — este documento ancla todo a la sesión, salvo el plazo único de entrega (dom 15/11) y el día de la exposición de cada grupo.</w:t>
      </w:r>
    </w:p>
    <w:p>
      <w:pPr>
        <w:spacing w:after="120" w:before="0"/>
        <w:jc w:val="left"/>
      </w:pPr>
      <w:r>
        <w:rPr>
          <w:rFonts w:ascii="Calibri" w:hAnsi="Calibri" w:eastAsia="Calibri"/>
          <w:b w:val="0"/>
          <w:color w:val="2B2B2B"/>
          <w:sz w:val="20"/>
        </w:rPr>
        <w:t>En este curso no se programa. El enunciado le explica al estudiante de primer semestre qué es el prototipo (baja fidelidad, navegable, probado con una persona ajena al equipo), sus versiones, lo que debe tener, el ejemplo de la biblioteca y cómo se prueba: todo sale de las Clases 10, 11 y 12.</w:t>
      </w:r>
    </w:p>
    <w:p>
      <w:pPr>
        <w:spacing w:after="120" w:before="240"/>
        <w:jc w:val="left"/>
      </w:pPr>
      <w:r>
        <w:rPr>
          <w:rFonts w:ascii="Calibri" w:hAnsi="Calibri" w:eastAsia="Calibri"/>
          <w:b/>
          <w:color w:val="095292"/>
          <w:sz w:val="24"/>
        </w:rPr>
        <w:t>Hitos docentes (por sesión — igual en los 3 grupos)</w:t>
      </w:r>
    </w:p>
    <w:tbl>
      <w:tblPr>
        <w:tblStyle w:val="TableGrid"/>
        <w:tblW w:type="auto" w:w="0"/>
        <w:tblLook w:firstColumn="1" w:firstRow="1" w:lastColumn="0" w:lastRow="0" w:noHBand="0" w:noVBand="1" w:val="04A0"/>
      </w:tblPr>
      <w:tblGrid>
        <w:gridCol w:w="3264"/>
        <w:gridCol w:w="3264"/>
        <w:gridCol w:w="3264"/>
      </w:tblGrid>
      <w:tr>
        <w:tc>
          <w:tcPr>
            <w:tcW w:type="dxa" w:w="3264"/>
            <w:shd w:val="clear" w:fill="095292"/>
          </w:tcPr>
          <w:p>
            <w:r/>
            <w:r>
              <w:rPr>
                <w:rFonts w:ascii="Calibri" w:hAnsi="Calibri" w:eastAsia="Calibri"/>
                <w:b/>
                <w:color w:val="FFFFFF"/>
                <w:sz w:val="20"/>
              </w:rPr>
              <w:t>Sesión</w:t>
            </w:r>
          </w:p>
        </w:tc>
        <w:tc>
          <w:tcPr>
            <w:tcW w:type="dxa" w:w="3264"/>
            <w:shd w:val="clear" w:fill="095292"/>
          </w:tcPr>
          <w:p>
            <w:r/>
            <w:r>
              <w:rPr>
                <w:rFonts w:ascii="Calibri" w:hAnsi="Calibri" w:eastAsia="Calibri"/>
                <w:b/>
                <w:color w:val="FFFFFF"/>
                <w:sz w:val="20"/>
              </w:rPr>
              <w:t>Clase(s)</w:t>
            </w:r>
          </w:p>
        </w:tc>
        <w:tc>
          <w:tcPr>
            <w:tcW w:type="dxa" w:w="3264"/>
            <w:shd w:val="clear" w:fill="095292"/>
          </w:tcPr>
          <w:p>
            <w:r/>
            <w:r>
              <w:rPr>
                <w:rFonts w:ascii="Calibri" w:hAnsi="Calibri" w:eastAsia="Calibri"/>
                <w:b/>
                <w:color w:val="FFFFFF"/>
                <w:sz w:val="20"/>
              </w:rPr>
              <w:t>Rol docente</w:t>
            </w:r>
          </w:p>
        </w:tc>
      </w:tr>
      <w:tr>
        <w:tc>
          <w:tcPr>
            <w:tcW w:type="dxa" w:w="3264"/>
          </w:tcPr>
          <w:p>
            <w:r/>
            <w:r>
              <w:rPr>
                <w:rFonts w:ascii="Calibri" w:hAnsi="Calibri" w:eastAsia="Calibri"/>
                <w:b w:val="0"/>
                <w:color w:val="2B2B2B"/>
                <w:sz w:val="20"/>
              </w:rPr>
              <w:t>4</w:t>
            </w:r>
          </w:p>
        </w:tc>
        <w:tc>
          <w:tcPr>
            <w:tcW w:type="dxa" w:w="3264"/>
          </w:tcPr>
          <w:p>
            <w:r/>
            <w:r>
              <w:rPr>
                <w:rFonts w:ascii="Calibri" w:hAnsi="Calibri" w:eastAsia="Calibri"/>
                <w:b w:val="0"/>
                <w:color w:val="2B2B2B"/>
                <w:sz w:val="20"/>
              </w:rPr>
              <w:t>Clase 6</w:t>
            </w:r>
          </w:p>
        </w:tc>
        <w:tc>
          <w:tcPr>
            <w:tcW w:type="dxa" w:w="3264"/>
          </w:tcPr>
          <w:p>
            <w:r/>
            <w:r>
              <w:rPr>
                <w:rFonts w:ascii="Calibri" w:hAnsi="Calibri" w:eastAsia="Calibri"/>
                <w:b w:val="0"/>
                <w:color w:val="2B2B2B"/>
                <w:sz w:val="20"/>
              </w:rPr>
              <w:t>Cierra el Corte 1. Evaluación de corte en ExamLab (últimos 20 min) + revisar que el problema del entorno traiga cifra y a quién le pasa.</w:t>
            </w:r>
          </w:p>
        </w:tc>
      </w:tr>
      <w:tr>
        <w:tc>
          <w:tcPr>
            <w:tcW w:type="dxa" w:w="3264"/>
            <w:shd w:val="clear" w:fill="F2F2F2"/>
          </w:tcPr>
          <w:p>
            <w:r/>
            <w:r>
              <w:rPr>
                <w:rFonts w:ascii="Calibri" w:hAnsi="Calibri" w:eastAsia="Calibri"/>
                <w:b w:val="0"/>
                <w:color w:val="2B2B2B"/>
                <w:sz w:val="20"/>
              </w:rPr>
              <w:t>6</w:t>
            </w:r>
          </w:p>
        </w:tc>
        <w:tc>
          <w:tcPr>
            <w:tcW w:type="dxa" w:w="3264"/>
            <w:shd w:val="clear" w:fill="F2F2F2"/>
          </w:tcPr>
          <w:p>
            <w:r/>
            <w:r>
              <w:rPr>
                <w:rFonts w:ascii="Calibri" w:hAnsi="Calibri" w:eastAsia="Calibri"/>
                <w:b w:val="0"/>
                <w:color w:val="2B2B2B"/>
                <w:sz w:val="20"/>
              </w:rPr>
              <w:t>Clases 9 y 10</w:t>
            </w:r>
          </w:p>
        </w:tc>
        <w:tc>
          <w:tcPr>
            <w:tcW w:type="dxa" w:w="3264"/>
            <w:shd w:val="clear" w:fill="F2F2F2"/>
          </w:tcPr>
          <w:p>
            <w:r/>
            <w:r>
              <w:rPr>
                <w:rFonts w:ascii="Calibri" w:hAnsi="Calibri" w:eastAsia="Calibri"/>
                <w:b w:val="0"/>
                <w:color w:val="2B2B2B"/>
                <w:sz w:val="20"/>
              </w:rPr>
              <w:t>Prototipo v1: exigir textos reales, estado vacío y de error y un destino por botón, y que se dibuje el alcance mínimo, no una idea nueva.</w:t>
            </w:r>
          </w:p>
        </w:tc>
      </w:tr>
      <w:tr>
        <w:tc>
          <w:tcPr>
            <w:tcW w:type="dxa" w:w="3264"/>
          </w:tcPr>
          <w:p>
            <w:r/>
            <w:r>
              <w:rPr>
                <w:rFonts w:ascii="Calibri" w:hAnsi="Calibri" w:eastAsia="Calibri"/>
                <w:b w:val="0"/>
                <w:color w:val="2B2B2B"/>
                <w:sz w:val="20"/>
              </w:rPr>
              <w:t>7</w:t>
            </w:r>
          </w:p>
        </w:tc>
        <w:tc>
          <w:tcPr>
            <w:tcW w:type="dxa" w:w="3264"/>
          </w:tcPr>
          <w:p>
            <w:r/>
            <w:r>
              <w:rPr>
                <w:rFonts w:ascii="Calibri" w:hAnsi="Calibri" w:eastAsia="Calibri"/>
                <w:b w:val="0"/>
                <w:color w:val="2B2B2B"/>
                <w:sz w:val="20"/>
              </w:rPr>
              <w:t>Clase 11</w:t>
            </w:r>
          </w:p>
        </w:tc>
        <w:tc>
          <w:tcPr>
            <w:tcW w:type="dxa" w:w="3264"/>
          </w:tcPr>
          <w:p>
            <w:r/>
            <w:r>
              <w:rPr>
                <w:rFonts w:ascii="Calibri" w:hAnsi="Calibri" w:eastAsia="Calibri"/>
                <w:b w:val="0"/>
                <w:color w:val="2B2B2B"/>
                <w:sz w:val="20"/>
              </w:rPr>
              <w:t>Cierra el Corte 2. Evaluación de corte en ExamLab (últimos 20 min) + revisar el registro de IA (prompt, tres variantes, correcciones y descartes) y pedir la prueba con una persona ajena antes de la sesión 8.</w:t>
            </w:r>
          </w:p>
        </w:tc>
      </w:tr>
      <w:tr>
        <w:tc>
          <w:tcPr>
            <w:tcW w:type="dxa" w:w="3264"/>
            <w:shd w:val="clear" w:fill="F2F2F2"/>
          </w:tcPr>
          <w:p>
            <w:r/>
            <w:r>
              <w:rPr>
                <w:rFonts w:ascii="Calibri" w:hAnsi="Calibri" w:eastAsia="Calibri"/>
                <w:b w:val="0"/>
                <w:color w:val="2B2B2B"/>
                <w:sz w:val="20"/>
              </w:rPr>
              <w:t>8</w:t>
            </w:r>
          </w:p>
        </w:tc>
        <w:tc>
          <w:tcPr>
            <w:tcW w:type="dxa" w:w="3264"/>
            <w:shd w:val="clear" w:fill="F2F2F2"/>
          </w:tcPr>
          <w:p>
            <w:r/>
            <w:r>
              <w:rPr>
                <w:rFonts w:ascii="Calibri" w:hAnsi="Calibri" w:eastAsia="Calibri"/>
                <w:b w:val="0"/>
                <w:color w:val="2B2B2B"/>
                <w:sz w:val="20"/>
              </w:rPr>
              <w:t>Clase 12</w:t>
            </w:r>
          </w:p>
        </w:tc>
        <w:tc>
          <w:tcPr>
            <w:tcW w:type="dxa" w:w="3264"/>
            <w:shd w:val="clear" w:fill="F2F2F2"/>
          </w:tcPr>
          <w:p>
            <w:r/>
            <w:r>
              <w:rPr>
                <w:rFonts w:ascii="Calibri" w:hAnsi="Calibri" w:eastAsia="Calibri"/>
                <w:b w:val="0"/>
                <w:color w:val="2B2B2B"/>
                <w:sz w:val="20"/>
              </w:rPr>
              <w:t>Sin prueba hecha no hay ficha de avance: los hallazgos se cuentan por lo que la persona hizo, con su tipo.</w:t>
            </w:r>
          </w:p>
        </w:tc>
      </w:tr>
      <w:tr>
        <w:tc>
          <w:tcPr>
            <w:tcW w:type="dxa" w:w="3264"/>
          </w:tcPr>
          <w:p>
            <w:r/>
            <w:r>
              <w:rPr>
                <w:rFonts w:ascii="Calibri" w:hAnsi="Calibri" w:eastAsia="Calibri"/>
                <w:b w:val="0"/>
                <w:color w:val="2B2B2B"/>
                <w:sz w:val="20"/>
              </w:rPr>
              <w:t>9 y 10</w:t>
            </w:r>
          </w:p>
        </w:tc>
        <w:tc>
          <w:tcPr>
            <w:tcW w:type="dxa" w:w="3264"/>
          </w:tcPr>
          <w:p>
            <w:r/>
            <w:r>
              <w:rPr>
                <w:rFonts w:ascii="Calibri" w:hAnsi="Calibri" w:eastAsia="Calibri"/>
                <w:b w:val="0"/>
                <w:color w:val="2B2B2B"/>
                <w:sz w:val="20"/>
              </w:rPr>
              <w:t>Clases 13 y 14</w:t>
            </w:r>
          </w:p>
        </w:tc>
        <w:tc>
          <w:tcPr>
            <w:tcW w:type="dxa" w:w="3264"/>
          </w:tcPr>
          <w:p>
            <w:r/>
            <w:r>
              <w:rPr>
                <w:rFonts w:ascii="Calibri" w:hAnsi="Calibri" w:eastAsia="Calibri"/>
                <w:b w:val="0"/>
                <w:color w:val="2B2B2B"/>
                <w:sz w:val="20"/>
              </w:rPr>
              <w:t>Revisar impacto/mitigación y bloquear equipos que lleguen sin línea base o sin criterio de aceptación verificable.</w:t>
            </w:r>
          </w:p>
        </w:tc>
      </w:tr>
      <w:tr>
        <w:tc>
          <w:tcPr>
            <w:tcW w:type="dxa" w:w="3264"/>
            <w:shd w:val="clear" w:fill="F2F2F2"/>
          </w:tcPr>
          <w:p>
            <w:r/>
            <w:r>
              <w:rPr>
                <w:rFonts w:ascii="Calibri" w:hAnsi="Calibri" w:eastAsia="Calibri"/>
                <w:b w:val="0"/>
                <w:color w:val="2B2B2B"/>
                <w:sz w:val="20"/>
              </w:rPr>
              <w:t>—</w:t>
            </w:r>
          </w:p>
        </w:tc>
        <w:tc>
          <w:tcPr>
            <w:tcW w:type="dxa" w:w="3264"/>
            <w:shd w:val="clear" w:fill="F2F2F2"/>
          </w:tcPr>
          <w:p>
            <w:r/>
            <w:r>
              <w:rPr>
                <w:rFonts w:ascii="Calibri" w:hAnsi="Calibri" w:eastAsia="Calibri"/>
                <w:b w:val="0"/>
                <w:color w:val="2B2B2B"/>
                <w:sz w:val="20"/>
              </w:rPr>
              <w:t>—</w:t>
            </w:r>
          </w:p>
        </w:tc>
        <w:tc>
          <w:tcPr>
            <w:tcW w:type="dxa" w:w="3264"/>
            <w:shd w:val="clear" w:fill="F2F2F2"/>
          </w:tcPr>
          <w:p>
            <w:r/>
            <w:r>
              <w:rPr>
                <w:rFonts w:ascii="Calibri" w:hAnsi="Calibri" w:eastAsia="Calibri"/>
                <w:b w:val="0"/>
                <w:color w:val="2B2B2B"/>
                <w:sz w:val="20"/>
              </w:rPr>
              <w:t>Plazo único del informe y del prototipo en ExamLab: domingo 15/11/2026, 11:59 p. m. Cada integrante sube el .zip del equipo desde su cuenta.</w:t>
            </w:r>
          </w:p>
        </w:tc>
      </w:tr>
      <w:tr>
        <w:tc>
          <w:tcPr>
            <w:tcW w:type="dxa" w:w="3264"/>
          </w:tcPr>
          <w:p>
            <w:r/>
            <w:r>
              <w:rPr>
                <w:rFonts w:ascii="Calibri" w:hAnsi="Calibri" w:eastAsia="Calibri"/>
                <w:b w:val="0"/>
                <w:color w:val="2B2B2B"/>
                <w:sz w:val="20"/>
              </w:rPr>
              <w:t>11 (doble)</w:t>
            </w:r>
          </w:p>
        </w:tc>
        <w:tc>
          <w:tcPr>
            <w:tcW w:type="dxa" w:w="3264"/>
          </w:tcPr>
          <w:p>
            <w:r/>
            <w:r>
              <w:rPr>
                <w:rFonts w:ascii="Calibri" w:hAnsi="Calibri" w:eastAsia="Calibri"/>
                <w:b w:val="0"/>
                <w:color w:val="2B2B2B"/>
                <w:sz w:val="20"/>
              </w:rPr>
              <w:t>Clases 15+16</w:t>
            </w:r>
          </w:p>
        </w:tc>
        <w:tc>
          <w:tcPr>
            <w:tcW w:type="dxa" w:w="3264"/>
          </w:tcPr>
          <w:p>
            <w:r/>
            <w:r>
              <w:rPr>
                <w:rFonts w:ascii="Calibri" w:hAnsi="Calibri" w:eastAsia="Calibri"/>
                <w:b w:val="0"/>
                <w:color w:val="2B2B2B"/>
                <w:sz w:val="20"/>
              </w:rPr>
              <w:t>Sustentaciones en turnos de 20 min por equipo (15 + 5; se corta a los 15) y cierre del proyecto. SB141C y LB141F mar 17/11 · SB141B jue 19/11. El informe ya está entregado.</w:t>
            </w:r>
          </w:p>
        </w:tc>
      </w:tr>
    </w:tbl>
    <w:p>
      <w:pPr>
        <w:spacing w:after="80" w:before="0"/>
        <w:jc w:val="left"/>
      </w:pPr>
    </w:p>
    <w:p>
      <w:pPr>
        <w:spacing w:after="120" w:before="240"/>
        <w:jc w:val="left"/>
      </w:pPr>
      <w:r>
        <w:rPr>
          <w:rFonts w:ascii="Calibri" w:hAnsi="Calibri" w:eastAsia="Calibri"/>
          <w:b/>
          <w:color w:val="095292"/>
          <w:sz w:val="24"/>
        </w:rPr>
        <w:t>Entrega y sustentación</w:t>
      </w:r>
    </w:p>
    <w:p>
      <w:pPr>
        <w:pStyle w:val="ListBullet"/>
        <w:spacing w:after="40"/>
      </w:pPr>
      <w:r>
        <w:rPr>
          <w:rFonts w:ascii="Calibri" w:hAnsi="Calibri" w:eastAsia="Calibri"/>
          <w:b w:val="0"/>
          <w:color w:val="2B2B2B"/>
          <w:sz w:val="22"/>
        </w:rPr>
        <w:t>Plazo único en ExamLab: domingo 15 de noviembre de 2026, 11:59 p. m.. Un solo archivo .zip —dentro puede ir cualquier tipo de archivo; máximo 50 MB—, y la carpeta de Drive del equipo —la de la bitácora—, compartida con permiso de lector (obligatorio).</w:t>
      </w:r>
    </w:p>
    <w:p>
      <w:pPr>
        <w:pStyle w:val="ListBullet"/>
        <w:spacing w:after="40"/>
      </w:pPr>
      <w:r>
        <w:rPr>
          <w:rFonts w:ascii="Calibri" w:hAnsi="Calibri" w:eastAsia="Calibri"/>
          <w:b w:val="0"/>
          <w:color w:val="2B2B2B"/>
          <w:sz w:val="22"/>
        </w:rPr>
        <w:t xml:space="preserve">Proyecto en equipo de 4 a 5 integrantes (máximo 5) —solo el proyecto: los demás entregables conservan su modalidad—. </w:t>
      </w:r>
      <w:r>
        <w:rPr>
          <w:rFonts w:ascii="Calibri" w:hAnsi="Calibri" w:eastAsia="Calibri"/>
          <w:b/>
          <w:color w:val="2B2B2B"/>
          <w:sz w:val="22"/>
        </w:rPr>
        <w:t>Cada integrante sube la entrega del equipo desde su propia cuenta</w:t>
      </w:r>
      <w:r>
        <w:rPr>
          <w:rFonts w:ascii="Calibri" w:hAnsi="Calibri" w:eastAsia="Calibri"/>
          <w:b w:val="0"/>
          <w:color w:val="2B2B2B"/>
          <w:sz w:val="22"/>
        </w:rPr>
        <w:t xml:space="preserve"> (ExamLab todavía no tiene los equipos cargados): el mismo .zip y el mismo enlace, una sola entrega por estudiante.</w:t>
      </w:r>
    </w:p>
    <w:p>
      <w:pPr>
        <w:pStyle w:val="ListBullet"/>
        <w:spacing w:after="40"/>
      </w:pPr>
      <w:r>
        <w:rPr>
          <w:rFonts w:ascii="Calibri" w:hAnsi="Calibri" w:eastAsia="Calibri"/>
          <w:b w:val="0"/>
          <w:color w:val="2B2B2B"/>
          <w:sz w:val="22"/>
        </w:rPr>
        <w:t>Sustentación: en la última clase de su grupo (SB141C y LB141F martes 17/11; SB141B jueves 19/11), por Microsoft Teams: 15 minutos de exposición + 5 minutos de preguntas por equipo (turno de 20 minutos); hablan todos los integrantes. Se corta a los 15 minutos, sin excepción.</w:t>
      </w:r>
    </w:p>
    <w:p>
      <w:pPr>
        <w:pStyle w:val="ListBullet"/>
        <w:spacing w:after="40"/>
      </w:pPr>
      <w:r>
        <w:rPr>
          <w:rFonts w:ascii="Calibri" w:hAnsi="Calibri" w:eastAsia="Calibri"/>
          <w:b w:val="0"/>
          <w:color w:val="2B2B2B"/>
          <w:sz w:val="22"/>
        </w:rPr>
        <w:t>Lo que deben mostrar: el prototipo navegable, recorriendo en vivo una de las tareas del guion de prueba de principio a fin, como si funcionara.</w:t>
      </w:r>
    </w:p>
    <w:p>
      <w:pPr>
        <w:spacing w:after="80" w:before="160"/>
        <w:jc w:val="left"/>
      </w:pPr>
      <w:r>
        <w:rPr>
          <w:rFonts w:ascii="Calibri" w:hAnsi="Calibri" w:eastAsia="Calibri"/>
          <w:b/>
          <w:color w:val="269CCB"/>
          <w:sz w:val="22"/>
        </w:rPr>
        <w:t>Qué revisar en el .zip</w:t>
      </w:r>
    </w:p>
    <w:tbl>
      <w:tblPr>
        <w:tblStyle w:val="TableGrid"/>
        <w:tblW w:type="auto" w:w="0"/>
        <w:tblLayout w:type="fixed"/>
        <w:tblLook w:firstColumn="1" w:firstRow="1" w:lastColumn="0" w:lastRow="0" w:noHBand="0" w:noVBand="1" w:val="04A0"/>
      </w:tblPr>
      <w:tblGrid>
        <w:gridCol w:w="4896"/>
        <w:gridCol w:w="4896"/>
      </w:tblGrid>
      <w:tr>
        <w:tc>
          <w:tcPr>
            <w:tcW w:type="dxa" w:w="2448"/>
            <w:shd w:val="clear" w:fill="095292"/>
          </w:tcPr>
          <w:p>
            <w:r/>
            <w:r>
              <w:rPr>
                <w:rFonts w:ascii="Calibri" w:hAnsi="Calibri" w:eastAsia="Calibri"/>
                <w:b/>
                <w:color w:val="FFFFFF"/>
                <w:sz w:val="20"/>
              </w:rPr>
              <w:t>En el .zip</w:t>
            </w:r>
          </w:p>
        </w:tc>
        <w:tc>
          <w:tcPr>
            <w:tcW w:type="dxa" w:w="7344"/>
            <w:shd w:val="clear" w:fill="095292"/>
          </w:tcPr>
          <w:p>
            <w:r/>
            <w:r>
              <w:rPr>
                <w:rFonts w:ascii="Calibri" w:hAnsi="Calibri" w:eastAsia="Calibri"/>
                <w:b/>
                <w:color w:val="FFFFFF"/>
                <w:sz w:val="20"/>
              </w:rPr>
              <w:t>Qué debe traer</w:t>
            </w:r>
          </w:p>
        </w:tc>
      </w:tr>
      <w:tr>
        <w:tc>
          <w:tcPr>
            <w:tcW w:type="dxa" w:w="2448"/>
          </w:tcPr>
          <w:p>
            <w:r/>
            <w:r>
              <w:rPr>
                <w:rFonts w:ascii="Calibri" w:hAnsi="Calibri" w:eastAsia="Calibri"/>
                <w:b w:val="0"/>
                <w:color w:val="2B2B2B"/>
                <w:sz w:val="20"/>
              </w:rPr>
              <w:t>Informe final</w:t>
            </w:r>
          </w:p>
        </w:tc>
        <w:tc>
          <w:tcPr>
            <w:tcW w:type="dxa" w:w="7344"/>
          </w:tcPr>
          <w:p>
            <w:r/>
            <w:r>
              <w:rPr>
                <w:rFonts w:ascii="Calibri" w:hAnsi="Calibri" w:eastAsia="Calibri"/>
                <w:b w:val="0"/>
                <w:color w:val="2B2B2B"/>
                <w:sz w:val="20"/>
              </w:rPr>
              <w:t>PDF de 9 a 11 páginas con las 12 secciones (sección 5).</w:t>
            </w:r>
          </w:p>
        </w:tc>
      </w:tr>
      <w:tr>
        <w:tc>
          <w:tcPr>
            <w:tcW w:type="dxa" w:w="2448"/>
            <w:shd w:val="clear" w:fill="F2F2F2"/>
          </w:tcPr>
          <w:p>
            <w:r/>
            <w:r>
              <w:rPr>
                <w:rFonts w:ascii="Calibri" w:hAnsi="Calibri" w:eastAsia="Calibri"/>
                <w:b w:val="0"/>
                <w:color w:val="2B2B2B"/>
                <w:sz w:val="20"/>
              </w:rPr>
              <w:t>prototipo/</w:t>
            </w:r>
          </w:p>
        </w:tc>
        <w:tc>
          <w:tcPr>
            <w:tcW w:type="dxa" w:w="7344"/>
            <w:shd w:val="clear" w:fill="F2F2F2"/>
          </w:tcPr>
          <w:p>
            <w:r/>
            <w:r>
              <w:rPr>
                <w:rFonts w:ascii="Calibri" w:hAnsi="Calibri" w:eastAsia="Calibri"/>
                <w:b w:val="0"/>
                <w:color w:val="2B2B2B"/>
                <w:sz w:val="20"/>
              </w:rPr>
              <w:t>Las imágenes del prototipo v1 (Clase 10) y v2 (Clase 11), en PNG o PDF. El enlace al prototipo navegable va en la sección 7 del informe.</w:t>
            </w:r>
          </w:p>
        </w:tc>
      </w:tr>
      <w:tr>
        <w:tc>
          <w:tcPr>
            <w:tcW w:type="dxa" w:w="2448"/>
          </w:tcPr>
          <w:p>
            <w:r/>
            <w:r>
              <w:rPr>
                <w:rFonts w:ascii="Calibri" w:hAnsi="Calibri" w:eastAsia="Calibri"/>
                <w:b w:val="0"/>
                <w:color w:val="2B2B2B"/>
                <w:sz w:val="20"/>
              </w:rPr>
              <w:t>Registro de IA</w:t>
            </w:r>
          </w:p>
        </w:tc>
        <w:tc>
          <w:tcPr>
            <w:tcW w:type="dxa" w:w="7344"/>
          </w:tcPr>
          <w:p>
            <w:r/>
            <w:r>
              <w:rPr>
                <w:rFonts w:ascii="Calibri" w:hAnsi="Calibri" w:eastAsia="Calibri"/>
                <w:b w:val="0"/>
                <w:color w:val="2B2B2B"/>
                <w:sz w:val="20"/>
              </w:rPr>
              <w:t>El de la Clase 11, exportado en PDF desde el documento del equipo: el prompt completo, las tres variantes, la elegida con su razón, lo corregido a mano y lo descartado.</w:t>
            </w:r>
          </w:p>
        </w:tc>
      </w:tr>
      <w:tr>
        <w:tc>
          <w:tcPr>
            <w:tcW w:type="dxa" w:w="2448"/>
            <w:shd w:val="clear" w:fill="F2F2F2"/>
          </w:tcPr>
          <w:p>
            <w:r/>
            <w:r>
              <w:rPr>
                <w:rFonts w:ascii="Calibri" w:hAnsi="Calibri" w:eastAsia="Calibri"/>
                <w:b w:val="0"/>
                <w:color w:val="2B2B2B"/>
                <w:sz w:val="20"/>
              </w:rPr>
              <w:t>Ficha de avance</w:t>
            </w:r>
          </w:p>
        </w:tc>
        <w:tc>
          <w:tcPr>
            <w:tcW w:type="dxa" w:w="7344"/>
            <w:shd w:val="clear" w:fill="F2F2F2"/>
          </w:tcPr>
          <w:p>
            <w:r/>
            <w:r>
              <w:rPr>
                <w:rFonts w:ascii="Calibri" w:hAnsi="Calibri" w:eastAsia="Calibri"/>
                <w:b w:val="0"/>
                <w:color w:val="2B2B2B"/>
                <w:sz w:val="20"/>
              </w:rPr>
              <w:t>La de la Clase 12, exportada en PDF: los hallazgos de la prueba con la persona ajena al equipo, con su tipo, y el plan de ajustes.</w:t>
            </w:r>
          </w:p>
        </w:tc>
      </w:tr>
    </w:tbl>
    <w:p>
      <w:pPr>
        <w:spacing w:after="80" w:before="0"/>
        <w:jc w:val="left"/>
      </w:pPr>
    </w:p>
    <w:p>
      <w:pPr>
        <w:spacing w:after="120" w:before="240"/>
        <w:jc w:val="left"/>
      </w:pPr>
      <w:r>
        <w:rPr>
          <w:rFonts w:ascii="Calibri" w:hAnsi="Calibri" w:eastAsia="Calibri"/>
          <w:b/>
          <w:color w:val="095292"/>
          <w:sz w:val="24"/>
        </w:rPr>
        <w:t>Rúbrica detallada</w:t>
      </w:r>
    </w:p>
    <w:p>
      <w:pPr>
        <w:pStyle w:val="ListBullet"/>
        <w:spacing w:after="40"/>
      </w:pPr>
      <w:r>
        <w:rPr>
          <w:rFonts w:ascii="Calibri" w:hAnsi="Calibri" w:eastAsia="Calibri"/>
          <w:b w:val="0"/>
          <w:color w:val="2B2B2B"/>
          <w:sz w:val="22"/>
        </w:rPr>
        <w:t>Exposición final (100 pts → 15% del curso): 5 tramos de 20/20/25/20/15 — ver tabla completa en el enunciado del estudiante.</w:t>
      </w:r>
    </w:p>
    <w:p>
      <w:pPr>
        <w:pStyle w:val="ListBullet"/>
        <w:spacing w:after="40"/>
      </w:pPr>
      <w:r>
        <w:rPr>
          <w:rFonts w:ascii="Calibri" w:hAnsi="Calibri" w:eastAsia="Calibri"/>
          <w:b w:val="0"/>
          <w:color w:val="2B2B2B"/>
          <w:sz w:val="22"/>
        </w:rPr>
        <w:t>Informe final (100 pts → 20% del curso): 30 pts las 12 secciones completas · 20 huecos resueltos y resumen · 15 declaración de uso de IA · 20 autoevaluación con evidencia · 15 coevaluación con observaciones.</w:t>
      </w:r>
    </w:p>
    <w:p>
      <w:pPr>
        <w:pStyle w:val="ListBullet"/>
        <w:spacing w:after="40"/>
      </w:pPr>
      <w:r>
        <w:rPr>
          <w:rFonts w:ascii="Calibri" w:hAnsi="Calibri" w:eastAsia="Calibri"/>
          <w:b w:val="0"/>
          <w:color w:val="2B2B2B"/>
          <w:sz w:val="22"/>
        </w:rPr>
        <w:t>Penalice con -10 pts de exposición si no hablan todos los integrantes, y otros -10 si nadie responde una pregunta de su propio tramo.</w:t>
      </w:r>
    </w:p>
    <w:p>
      <w:pPr>
        <w:spacing w:after="120" w:before="240"/>
        <w:jc w:val="left"/>
      </w:pPr>
      <w:r>
        <w:rPr>
          <w:rFonts w:ascii="Calibri" w:hAnsi="Calibri" w:eastAsia="Calibri"/>
          <w:b/>
          <w:color w:val="095292"/>
          <w:sz w:val="24"/>
        </w:rPr>
        <w:t>Errores frecuentes</w:t>
      </w:r>
    </w:p>
    <w:p>
      <w:pPr>
        <w:pStyle w:val="ListBullet"/>
        <w:spacing w:after="40"/>
      </w:pPr>
      <w:r>
        <w:rPr>
          <w:rFonts w:ascii="Calibri" w:hAnsi="Calibri" w:eastAsia="Calibri"/>
          <w:b w:val="0"/>
          <w:color w:val="2B2B2B"/>
          <w:sz w:val="22"/>
        </w:rPr>
        <w:t>Un equipo que redacta el problema como «existen varios modelos de servicio» en vez de nombrar la cifra y a quién le pasa — es el error dominante del informe.</w:t>
      </w:r>
    </w:p>
    <w:p>
      <w:pPr>
        <w:pStyle w:val="ListBullet"/>
        <w:spacing w:after="40"/>
      </w:pPr>
      <w:r>
        <w:rPr>
          <w:rFonts w:ascii="Calibri" w:hAnsi="Calibri" w:eastAsia="Calibri"/>
          <w:b w:val="0"/>
          <w:color w:val="2B2B2B"/>
          <w:sz w:val="22"/>
        </w:rPr>
        <w:t>Alternativas descartadas que no tienen motivo atado al dominio del equipo.</w:t>
      </w:r>
    </w:p>
    <w:p>
      <w:pPr>
        <w:pStyle w:val="ListBullet"/>
        <w:spacing w:after="40"/>
      </w:pPr>
      <w:r>
        <w:rPr>
          <w:rFonts w:ascii="Calibri" w:hAnsi="Calibri" w:eastAsia="Calibri"/>
          <w:b w:val="0"/>
          <w:color w:val="2B2B2B"/>
          <w:sz w:val="22"/>
        </w:rPr>
        <w:t>Consecuencias/impacto que solo listan lo positivo: exigir siempre lo negativo con su mitigación.</w:t>
      </w:r>
    </w:p>
    <w:p>
      <w:pPr>
        <w:pStyle w:val="ListBullet"/>
        <w:spacing w:after="40"/>
      </w:pPr>
      <w:r>
        <w:rPr>
          <w:rFonts w:ascii="Calibri" w:hAnsi="Calibri" w:eastAsia="Calibri"/>
          <w:b w:val="0"/>
          <w:color w:val="2B2B2B"/>
          <w:sz w:val="22"/>
        </w:rPr>
        <w:t>Equipos que dejan la prueba con persona ajena para el final: sin ella no hay hallazgos que mostrar en la exposición.</w:t>
      </w:r>
    </w:p>
    <w:p>
      <w:pPr>
        <w:pStyle w:val="ListBullet"/>
        <w:spacing w:after="40"/>
      </w:pPr>
      <w:r>
        <w:rPr>
          <w:rFonts w:ascii="Calibri" w:hAnsi="Calibri" w:eastAsia="Calibri"/>
          <w:b w:val="0"/>
          <w:color w:val="2B2B2B"/>
          <w:sz w:val="22"/>
        </w:rPr>
        <w:t>Equipos que intentan programar el prototipo: el curso pide baja fidelidad navegable, y aprender a programarlo se come el tiempo de diseñar y de probar.</w:t>
      </w:r>
    </w:p>
    <w:p>
      <w:pPr>
        <w:spacing w:after="120" w:before="0"/>
        <w:jc w:val="left"/>
      </w:pPr>
      <w:r>
        <w:rPr>
          <w:rFonts w:ascii="Calibri" w:hAnsi="Calibri" w:eastAsia="Calibri"/>
          <w:b w:val="0"/>
          <w:color w:val="2B2B2B"/>
          <w:sz w:val="20"/>
        </w:rPr>
        <w:t>Enunciado del estudiante en «Clases/Proyecto Integrador/», común a los tres grupos.</w:t>
      </w:r>
    </w:p>
    <w:sectPr w:rsidR="00FC693F" w:rsidRPr="0006063C" w:rsidSect="00034616">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