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Guia docente · Proyecto Integrador — Seminario de Sistemas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6"/>
        </w:rPr>
        <w:t>Seminario de Sistemas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FI303301 · Grupo 341C · 2026-2</w:t>
      </w:r>
    </w:p>
    <w:p>
      <w:pPr>
        <w:spacing w:after="20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rúbrica e hitos.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Contexto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PI compartido con Programacion II: mismo producto VetCare, distinto entregable. El enunciado original vivia suelto como .gdoc dentro de la carpeta de Clase 1; ahora el documento del estudiante vive en Clases/Proyecto Integrador/ y esta guia en Kit docente/.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Alineacion RAA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RAA1 Patrones y modularidad → organizacion del diseno, separacion de responsabilidades.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RAA2 Documentacion y validacion → SDD, diccionario de datos, plan de pruebas.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RAA3 Presentacion y sustentacion → defensa clara de las decisiones de diseno.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Los tres casos de matricula (lo que mas dudas genera)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A (ambas materias): aqui se califican los planos; el codigo se califica en Prog II. No exigir codigo compilable en esta asignatura.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C (solo Seminario): cierra con SDD + mockup navegable. Es una ruta completa y valida, no una version reducida: dejarlo claro desde Clase 1 para que nadie se sienta en desventaja.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B (solo Prog II): no aparece aca; sus diagramas base los provee el docente en el otro curso. Mantener un juego de diagramas VetCare listo para repartir alla.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Hitos docentes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Sesion (material)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 docente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S10 (doble · Clases 11+12)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29/10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Revisar que los RF sean verificables (no deseos vagos) y la coherencia entre casos de uso y diagrama de clases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S11 (Clase 13)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05/11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Wireframes: exigir flujo completo de una tarea real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S12 (Clase 14)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Consolidacion del documento + ensayo cronometrado (15 + 5 min)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Plazo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dom 15/11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Cierra la entrega en ExamLab (11:59 p. m.): cada integrante sube el .zip + enlace del equipo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S13 (Clase 15)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19/11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 + sustentacion final en turnos de 20 min (15 + 5)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 a vigilar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Requisitos no verificables («el sistema debe ser rapido») sin criterio medible.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 de clases que no corresponde a los casos de uso entregados.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Mockup bonito que no cubre el flujo critico (registrar → buscar → ver historial).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Diccionario de datos sin tipos ni restricciones: queda inservible para quien programe.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Entrega y sustentacion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Plazo unico en ExamLab: domingo 15 de noviembre de 2026, 11:59 p. m.. Un solo archivo .zip —dentro puede ir cualquier tipo de archivo; maximo 50 MB—, y la carpeta de Drive del equipo o el repositorio, con los mismos archivos (obligatorio).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Proyecto en equipo de 4 a 5 integrantes (maximo 5) —solo el proyecto: los demas entregables conservan su modalidad—. </w:t>
      </w:r>
      <w:r>
        <w:rPr>
          <w:rFonts w:ascii="Calibri" w:hAnsi="Calibri" w:eastAsia="Calibri"/>
          <w:b/>
          <w:color w:val="2B2B2B"/>
          <w:sz w:val="22"/>
        </w:rPr>
        <w:t>Cada integrante sube la entrega del equipo</w:t>
      </w:r>
      <w:r>
        <w:rPr>
          <w:rFonts w:ascii="Calibri" w:hAnsi="Calibri" w:eastAsia="Calibri"/>
          <w:b w:val="0"/>
          <w:color w:val="2B2B2B"/>
          <w:sz w:val="22"/>
        </w:rPr>
        <w:t xml:space="preserve"> desde su propia cuenta: el mismo .zip y el mismo enlace; una sola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Sustentacion: jueves 19/11/2026, en la ultima clase (sesion 13, mismo dia del Parcial 3), por Meet: 15 minutos de exposicion + 5 minutos de preguntas por equipo (turno de 20 minutos); hablan todos los integrantes.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 que deben mostrar: el mockup navegable recorriendo el flujo critico (registrar, buscar y ver el historial) y la trazabilidad de un requisito hasta su caso de uso y su caso de prueba.</w:t>
      </w: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Que revisar en el .zip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En el .zip</w:t>
            </w:r>
          </w:p>
        </w:tc>
        <w:tc>
          <w:tcPr>
            <w:tcW w:type="dxa" w:w="734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debe traer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Documento de diseno</w:t>
            </w:r>
          </w:p>
        </w:tc>
        <w:tc>
          <w:tcPr>
            <w:tcW w:type="dxa" w:w="734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PDF: requisitos RF/RNF, casos de uso, diagrama de clases, diagrama dinamico (actividad o secuencia) y diccionario de datos con el formato de almacenamiento.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diagramas/</w:t>
            </w:r>
          </w:p>
        </w:tc>
        <w:tc>
          <w:tcPr>
            <w:tcW w:type="dxa" w:w="734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Cada diagrama exportado en PNG, con su archivo fuente.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Mockup</w:t>
            </w:r>
          </w:p>
        </w:tc>
        <w:tc>
          <w:tcPr>
            <w:tcW w:type="dxa" w:w="734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PDF exportado de las pantallas. El enlace al mockup navegable (Figma, Penpot o Balsamiq) va dentro del documento de diseno.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Plan de pruebas</w:t>
            </w:r>
          </w:p>
        </w:tc>
        <w:tc>
          <w:tcPr>
            <w:tcW w:type="dxa" w:w="734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Los casos de prueba, cada uno trazado al requisito que verifica.</w:t>
            </w:r>
          </w:p>
        </w:tc>
      </w:tr>
    </w:tbl>
    <w:p>
      <w:pPr>
        <w:spacing w:after="80" w:before="0"/>
        <w:jc w:val="left"/>
      </w:pP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