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Cerrar el dominio del PI en una ficha de cinco bloques, con capacidades de negocio y no piezas tecnicas.</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5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Killercoda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5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11]</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en la pregunta 1 el problema en 2 o 3 frases, diciendo QUIEN lo sufre con un rol concreto y COMO se mide con una cifra, aunque sea estimada; verifique que su enunciado no sirva igual para cualquier otro sistema, porque entonces el dominio todavia es generico.</w:t>
      </w:r>
    </w:p>
    <w:p>
      <w:pPr>
        <w:pStyle w:val="ListNumber"/>
      </w:pPr>
      <w:r>
        <w:rPr>
          <w:b w:val="0"/>
          <w:color w:val="4A4A49"/>
          <w:sz w:val="22"/>
        </w:rPr>
        <w:t>Paso 2: complete en la pregunta 2 la ficha de cinco bloques (DOMINIO, PROBLEMA, ACTORES, CAPACIDADES, FUERA DE ALCANCE) con 3 a 5 capacidades en la forma verbo mas objeto de negocio, 2 a 3 actores con lo que espera cada uno, los sistemas externos dentro del bloque ACTORES, y lo que el sistema no hara este semestre; verifique que ninguna capacidad nombre tecnologia.</w:t>
      </w:r>
    </w:p>
    <w:p>
      <w:pPr>
        <w:pStyle w:val="ListNumber"/>
      </w:pPr>
      <w:r>
        <w:rPr>
          <w:b w:val="0"/>
          <w:color w:val="4A4A49"/>
          <w:sz w:val="22"/>
        </w:rPr>
        <w:t>Paso 3: dibuje primero el boceto del C4 Context en Excalidraw o draw.io, que es donde se piensa el modelo, y despues pidale a una IA que lo traduzca a Mermaid («convierta este diagrama a Mermaid usando C4Context»); peguelo en la pregunta 3 y verifique en el diagrama ya renderizado que el sistema sea UNA sola caja, que no aparezca ninguna caja interna (eso es la pregunta 9) y que cada flecha lleve verbo y protocolo.</w:t>
      </w:r>
    </w:p>
    <w:p>
      <w:pPr>
        <w:pStyle w:val="ListNumber"/>
      </w:pPr>
      <w:r>
        <w:rPr>
          <w:b w:val="0"/>
          <w:color w:val="4A4A49"/>
          <w:sz w:val="22"/>
        </w:rPr>
        <w:t>Paso 4: antes de cerrar la sesion, revise que los nombres de actores y de sistemas externos sean EXACTAMENTE los mismos en la ficha y en el diagrama; si no coinciden, no son el mismo sistema, y las preguntas 9 a 11 de esta actividad reutilizan esos nombres. Las preguntas 4 a 11 se resuelven en las Clases 2, 3 y 4: la actividad se entrega completa al cierre del Corte 1, no hoy.</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