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C0FDD" w14:textId="77777777" w:rsidR="00D0714B" w:rsidRPr="00CF657B" w:rsidRDefault="00D62DCB">
      <w:pPr>
        <w:pStyle w:val="Ttulo1"/>
        <w:jc w:val="center"/>
        <w:rPr>
          <w:sz w:val="24"/>
          <w:szCs w:val="24"/>
          <w:lang w:val="es-CO"/>
        </w:rPr>
      </w:pPr>
      <w:r w:rsidRPr="00CF657B">
        <w:rPr>
          <w:sz w:val="24"/>
          <w:szCs w:val="24"/>
          <w:lang w:val="es-CO"/>
        </w:rPr>
        <w:t>Informe Ejecutivo — Resultados del Análisis de Materiales Aprovechables (CEMPRE)</w:t>
      </w:r>
    </w:p>
    <w:p w14:paraId="5F1A1FE0" w14:textId="087A87A2" w:rsidR="00D0714B" w:rsidRPr="00CF657B" w:rsidRDefault="00D62DCB" w:rsidP="003D109E">
      <w:pPr>
        <w:jc w:val="center"/>
        <w:rPr>
          <w:sz w:val="20"/>
          <w:szCs w:val="20"/>
          <w:lang w:val="es-CO"/>
        </w:rPr>
      </w:pPr>
      <w:r w:rsidRPr="00CF657B">
        <w:rPr>
          <w:sz w:val="20"/>
          <w:szCs w:val="20"/>
          <w:lang w:val="es-CO"/>
        </w:rPr>
        <w:t>Autor: Andrés Salcedo — Analista de Datos</w:t>
      </w:r>
      <w:r w:rsidRPr="00CF657B">
        <w:rPr>
          <w:sz w:val="20"/>
          <w:szCs w:val="20"/>
          <w:lang w:val="es-CO"/>
        </w:rPr>
        <w:br/>
        <w:t>Fecha: Octubre de 2025</w:t>
      </w:r>
    </w:p>
    <w:p w14:paraId="0845C931" w14:textId="77777777" w:rsidR="00D0714B" w:rsidRPr="00CF657B" w:rsidRDefault="00D62DCB">
      <w:pPr>
        <w:pStyle w:val="Ttulo2"/>
        <w:rPr>
          <w:sz w:val="24"/>
          <w:szCs w:val="24"/>
          <w:lang w:val="es-CO"/>
        </w:rPr>
      </w:pPr>
      <w:r w:rsidRPr="00CF657B">
        <w:rPr>
          <w:sz w:val="24"/>
          <w:szCs w:val="24"/>
          <w:lang w:val="es-CO"/>
        </w:rPr>
        <w:t>1. Contexto general</w:t>
      </w:r>
    </w:p>
    <w:p w14:paraId="2AF5B275" w14:textId="0F6FAEFE" w:rsidR="004F65BB" w:rsidRPr="00CF657B" w:rsidRDefault="004F65BB" w:rsidP="004F65BB">
      <w:pPr>
        <w:rPr>
          <w:sz w:val="20"/>
          <w:szCs w:val="20"/>
          <w:lang w:val="es-CO"/>
        </w:rPr>
      </w:pPr>
      <w:r w:rsidRPr="00CF657B">
        <w:rPr>
          <w:sz w:val="20"/>
          <w:szCs w:val="20"/>
          <w:lang w:val="es-CO"/>
        </w:rPr>
        <w:t>El presente informe tiene como objetivo comunicar los principales resultados obtenidos del análisis de la base de datos de facturación de materiales aprovechables gestionados en el marco de las iniciativas de reciclaje de CEMPRE Colombia.</w:t>
      </w:r>
    </w:p>
    <w:p w14:paraId="603F9479" w14:textId="1A1E9587" w:rsidR="004F65BB" w:rsidRPr="00CF657B" w:rsidRDefault="004F65BB" w:rsidP="004F65BB">
      <w:pPr>
        <w:rPr>
          <w:sz w:val="20"/>
          <w:szCs w:val="20"/>
          <w:lang w:val="es-CO"/>
        </w:rPr>
      </w:pPr>
      <w:r w:rsidRPr="00CF657B">
        <w:rPr>
          <w:sz w:val="20"/>
          <w:szCs w:val="20"/>
          <w:lang w:val="es-CO"/>
        </w:rPr>
        <w:t>El estudio se realizó a partir de la información proporcionada sobre gestores, intermediarios, materiales recolectados, iniciativas y empresas vinculadas al proceso de aprovechamiento de envases y empaques (E&amp;E). Los datos fueron procesados y visualizados mediante un dashboard en Power BI, con el fin de ofrecer una lectura integral y visualmente clara de la cadena de valor del reciclaje.</w:t>
      </w:r>
    </w:p>
    <w:p w14:paraId="78441718" w14:textId="225B246D" w:rsidR="00D0714B" w:rsidRPr="00CF657B" w:rsidRDefault="004F65BB" w:rsidP="004F65BB">
      <w:pPr>
        <w:rPr>
          <w:sz w:val="20"/>
          <w:szCs w:val="20"/>
          <w:lang w:val="es-CO"/>
        </w:rPr>
      </w:pPr>
      <w:r w:rsidRPr="00CF657B">
        <w:rPr>
          <w:sz w:val="20"/>
          <w:szCs w:val="20"/>
          <w:lang w:val="es-CO"/>
        </w:rPr>
        <w:t>El enfoque principal del análisis fue identificar el desempeño de las iniciativas y sus actores (gestores e intermediarios), evaluar la eficiencia del aprovechamiento de materiales y reconocer las oportunidades de mejora para fortalecer los resultados de recolección y transformación.</w:t>
      </w:r>
    </w:p>
    <w:p w14:paraId="6736D9B2" w14:textId="77777777" w:rsidR="00D0714B" w:rsidRPr="00CF657B" w:rsidRDefault="00D62DCB">
      <w:pPr>
        <w:pStyle w:val="Ttulo2"/>
        <w:rPr>
          <w:sz w:val="24"/>
          <w:szCs w:val="24"/>
          <w:lang w:val="es-CO"/>
        </w:rPr>
      </w:pPr>
      <w:r w:rsidRPr="00CF657B">
        <w:rPr>
          <w:sz w:val="24"/>
          <w:szCs w:val="24"/>
          <w:lang w:val="es-CO"/>
        </w:rPr>
        <w:t>2. Principales resultados</w:t>
      </w:r>
    </w:p>
    <w:p w14:paraId="20B67E86" w14:textId="77777777" w:rsidR="00CE0998" w:rsidRPr="00CF657B" w:rsidRDefault="00CE0998" w:rsidP="003D6D35">
      <w:pPr>
        <w:pStyle w:val="Ttulo3"/>
        <w:rPr>
          <w:sz w:val="20"/>
          <w:szCs w:val="20"/>
          <w:lang w:val="es-CO"/>
        </w:rPr>
      </w:pPr>
      <w:r w:rsidRPr="00CF657B">
        <w:rPr>
          <w:sz w:val="20"/>
          <w:szCs w:val="20"/>
          <w:lang w:val="es-CO"/>
        </w:rPr>
        <w:t>2.1 Resultados Generales</w:t>
      </w:r>
    </w:p>
    <w:p w14:paraId="2C0B1CF1" w14:textId="77777777" w:rsidR="00BA23C6" w:rsidRPr="00BA23C6" w:rsidRDefault="00BA23C6" w:rsidP="00BA23C6">
      <w:pPr>
        <w:rPr>
          <w:sz w:val="20"/>
          <w:szCs w:val="20"/>
          <w:lang w:val="es-CO"/>
        </w:rPr>
      </w:pPr>
      <w:r w:rsidRPr="00BA23C6">
        <w:rPr>
          <w:sz w:val="20"/>
          <w:szCs w:val="20"/>
          <w:lang w:val="es-CO"/>
        </w:rPr>
        <w:t xml:space="preserve">Durante el periodo analizado se recolectaron </w:t>
      </w:r>
      <w:r w:rsidRPr="00BA23C6">
        <w:rPr>
          <w:b/>
          <w:bCs/>
          <w:sz w:val="20"/>
          <w:szCs w:val="20"/>
          <w:lang w:val="es-CO"/>
        </w:rPr>
        <w:t>32.050 toneladas de material reciclable</w:t>
      </w:r>
      <w:r w:rsidRPr="00BA23C6">
        <w:rPr>
          <w:sz w:val="20"/>
          <w:szCs w:val="20"/>
          <w:lang w:val="es-CO"/>
        </w:rPr>
        <w:t xml:space="preserve">, de las cuales </w:t>
      </w:r>
      <w:r w:rsidRPr="00BA23C6">
        <w:rPr>
          <w:b/>
          <w:bCs/>
          <w:sz w:val="20"/>
          <w:szCs w:val="20"/>
          <w:lang w:val="es-CO"/>
        </w:rPr>
        <w:t>15.650 toneladas correspondieron a envases y empaques (E&amp;E)</w:t>
      </w:r>
      <w:r w:rsidRPr="00BA23C6">
        <w:rPr>
          <w:sz w:val="20"/>
          <w:szCs w:val="20"/>
          <w:lang w:val="es-CO"/>
        </w:rPr>
        <w:t xml:space="preserve">, lo que representa un </w:t>
      </w:r>
      <w:r w:rsidRPr="00BA23C6">
        <w:rPr>
          <w:b/>
          <w:bCs/>
          <w:sz w:val="20"/>
          <w:szCs w:val="20"/>
          <w:lang w:val="es-CO"/>
        </w:rPr>
        <w:t>aprovechamiento promedio del 40%</w:t>
      </w:r>
      <w:r w:rsidRPr="00BA23C6">
        <w:rPr>
          <w:sz w:val="20"/>
          <w:szCs w:val="20"/>
          <w:lang w:val="es-CO"/>
        </w:rPr>
        <w:t>, evidenciando oportunidades de mejora en la eficiencia de transformación.</w:t>
      </w:r>
    </w:p>
    <w:p w14:paraId="41620FAF" w14:textId="77777777" w:rsidR="00BA23C6" w:rsidRPr="00BA23C6" w:rsidRDefault="00BA23C6" w:rsidP="00BA23C6">
      <w:pPr>
        <w:rPr>
          <w:sz w:val="20"/>
          <w:szCs w:val="20"/>
          <w:lang w:val="es-CO"/>
        </w:rPr>
      </w:pPr>
      <w:r w:rsidRPr="00BA23C6">
        <w:rPr>
          <w:sz w:val="20"/>
          <w:szCs w:val="20"/>
          <w:lang w:val="es-CO"/>
        </w:rPr>
        <w:t xml:space="preserve">Las </w:t>
      </w:r>
      <w:r w:rsidRPr="00BA23C6">
        <w:rPr>
          <w:b/>
          <w:bCs/>
          <w:sz w:val="20"/>
          <w:szCs w:val="20"/>
          <w:lang w:val="es-CO"/>
        </w:rPr>
        <w:t>familias de material más representativas</w:t>
      </w:r>
      <w:r w:rsidRPr="00BA23C6">
        <w:rPr>
          <w:sz w:val="20"/>
          <w:szCs w:val="20"/>
          <w:lang w:val="es-CO"/>
        </w:rPr>
        <w:t xml:space="preserve"> fueron </w:t>
      </w:r>
      <w:r w:rsidRPr="00BA23C6">
        <w:rPr>
          <w:b/>
          <w:bCs/>
          <w:sz w:val="20"/>
          <w:szCs w:val="20"/>
          <w:lang w:val="es-CO"/>
        </w:rPr>
        <w:t>cartón (10.000 toneladas)</w:t>
      </w:r>
      <w:r w:rsidRPr="00BA23C6">
        <w:rPr>
          <w:sz w:val="20"/>
          <w:szCs w:val="20"/>
          <w:lang w:val="es-CO"/>
        </w:rPr>
        <w:t xml:space="preserve">, </w:t>
      </w:r>
      <w:r w:rsidRPr="00BA23C6">
        <w:rPr>
          <w:b/>
          <w:bCs/>
          <w:sz w:val="20"/>
          <w:szCs w:val="20"/>
          <w:lang w:val="es-CO"/>
        </w:rPr>
        <w:t>PET (3.800)</w:t>
      </w:r>
      <w:r w:rsidRPr="00BA23C6">
        <w:rPr>
          <w:sz w:val="20"/>
          <w:szCs w:val="20"/>
          <w:lang w:val="es-CO"/>
        </w:rPr>
        <w:t xml:space="preserve"> y </w:t>
      </w:r>
      <w:r w:rsidRPr="00BA23C6">
        <w:rPr>
          <w:b/>
          <w:bCs/>
          <w:sz w:val="20"/>
          <w:szCs w:val="20"/>
          <w:lang w:val="es-CO"/>
        </w:rPr>
        <w:t>vidrio, pasta y plásticos varios</w:t>
      </w:r>
      <w:r w:rsidRPr="00BA23C6">
        <w:rPr>
          <w:sz w:val="20"/>
          <w:szCs w:val="20"/>
          <w:lang w:val="es-CO"/>
        </w:rPr>
        <w:t xml:space="preserve"> con entre </w:t>
      </w:r>
      <w:r w:rsidRPr="00BA23C6">
        <w:rPr>
          <w:b/>
          <w:bCs/>
          <w:sz w:val="20"/>
          <w:szCs w:val="20"/>
          <w:lang w:val="es-CO"/>
        </w:rPr>
        <w:t>1.500 y 2.000 toneladas</w:t>
      </w:r>
      <w:r w:rsidRPr="00BA23C6">
        <w:rPr>
          <w:sz w:val="20"/>
          <w:szCs w:val="20"/>
          <w:lang w:val="es-CO"/>
        </w:rPr>
        <w:t xml:space="preserve"> cada una. En términos de E&amp;E, destacan el </w:t>
      </w:r>
      <w:r w:rsidRPr="00BA23C6">
        <w:rPr>
          <w:b/>
          <w:bCs/>
          <w:sz w:val="20"/>
          <w:szCs w:val="20"/>
          <w:lang w:val="es-CO"/>
        </w:rPr>
        <w:t>cartón (4.000 toneladas)</w:t>
      </w:r>
      <w:r w:rsidRPr="00BA23C6">
        <w:rPr>
          <w:sz w:val="20"/>
          <w:szCs w:val="20"/>
          <w:lang w:val="es-CO"/>
        </w:rPr>
        <w:t xml:space="preserve">, </w:t>
      </w:r>
      <w:r w:rsidRPr="00BA23C6">
        <w:rPr>
          <w:b/>
          <w:bCs/>
          <w:sz w:val="20"/>
          <w:szCs w:val="20"/>
          <w:lang w:val="es-CO"/>
        </w:rPr>
        <w:t>PET (3.400)</w:t>
      </w:r>
      <w:r w:rsidRPr="00BA23C6">
        <w:rPr>
          <w:sz w:val="20"/>
          <w:szCs w:val="20"/>
          <w:lang w:val="es-CO"/>
        </w:rPr>
        <w:t xml:space="preserve"> y </w:t>
      </w:r>
      <w:r w:rsidRPr="00BA23C6">
        <w:rPr>
          <w:b/>
          <w:bCs/>
          <w:sz w:val="20"/>
          <w:szCs w:val="20"/>
          <w:lang w:val="es-CO"/>
        </w:rPr>
        <w:t>archivo (1.500)</w:t>
      </w:r>
      <w:r w:rsidRPr="00BA23C6">
        <w:rPr>
          <w:sz w:val="20"/>
          <w:szCs w:val="20"/>
          <w:lang w:val="es-CO"/>
        </w:rPr>
        <w:t>.</w:t>
      </w:r>
    </w:p>
    <w:p w14:paraId="6A008703" w14:textId="77777777" w:rsidR="00BA23C6" w:rsidRPr="00BA23C6" w:rsidRDefault="00BA23C6" w:rsidP="00BA23C6">
      <w:pPr>
        <w:rPr>
          <w:sz w:val="20"/>
          <w:szCs w:val="20"/>
          <w:lang w:val="es-CO"/>
        </w:rPr>
      </w:pPr>
      <w:r w:rsidRPr="00BA23C6">
        <w:rPr>
          <w:sz w:val="20"/>
          <w:szCs w:val="20"/>
          <w:lang w:val="es-CO"/>
        </w:rPr>
        <w:t xml:space="preserve">El análisis del </w:t>
      </w:r>
      <w:r w:rsidRPr="00BA23C6">
        <w:rPr>
          <w:b/>
          <w:bCs/>
          <w:sz w:val="20"/>
          <w:szCs w:val="20"/>
          <w:lang w:val="es-CO"/>
        </w:rPr>
        <w:t>porcentaje de aprovechamiento (E&amp;E/Ton entregadas)</w:t>
      </w:r>
      <w:r w:rsidRPr="00BA23C6">
        <w:rPr>
          <w:sz w:val="20"/>
          <w:szCs w:val="20"/>
          <w:lang w:val="es-CO"/>
        </w:rPr>
        <w:t xml:space="preserve"> muestra que </w:t>
      </w:r>
      <w:r w:rsidRPr="00BA23C6">
        <w:rPr>
          <w:b/>
          <w:bCs/>
          <w:sz w:val="20"/>
          <w:szCs w:val="20"/>
          <w:lang w:val="es-CO"/>
        </w:rPr>
        <w:t>archivo, cobre, polietileno y PET</w:t>
      </w:r>
      <w:r w:rsidRPr="00BA23C6">
        <w:rPr>
          <w:sz w:val="20"/>
          <w:szCs w:val="20"/>
          <w:lang w:val="es-CO"/>
        </w:rPr>
        <w:t xml:space="preserve"> superan el </w:t>
      </w:r>
      <w:r w:rsidRPr="00BA23C6">
        <w:rPr>
          <w:b/>
          <w:bCs/>
          <w:sz w:val="20"/>
          <w:szCs w:val="20"/>
          <w:lang w:val="es-CO"/>
        </w:rPr>
        <w:t>90% de eficiencia</w:t>
      </w:r>
      <w:r w:rsidRPr="00BA23C6">
        <w:rPr>
          <w:sz w:val="20"/>
          <w:szCs w:val="20"/>
          <w:lang w:val="es-CO"/>
        </w:rPr>
        <w:t xml:space="preserve">, mientras que el </w:t>
      </w:r>
      <w:r w:rsidRPr="00BA23C6">
        <w:rPr>
          <w:b/>
          <w:bCs/>
          <w:sz w:val="20"/>
          <w:szCs w:val="20"/>
          <w:lang w:val="es-CO"/>
        </w:rPr>
        <w:t>cartón</w:t>
      </w:r>
      <w:r w:rsidRPr="00BA23C6">
        <w:rPr>
          <w:sz w:val="20"/>
          <w:szCs w:val="20"/>
          <w:lang w:val="es-CO"/>
        </w:rPr>
        <w:t xml:space="preserve">, pese a su alto volumen, alcanza solo un </w:t>
      </w:r>
      <w:r w:rsidRPr="00BA23C6">
        <w:rPr>
          <w:b/>
          <w:bCs/>
          <w:sz w:val="20"/>
          <w:szCs w:val="20"/>
          <w:lang w:val="es-CO"/>
        </w:rPr>
        <w:t>40% de aprovechamiento efectivo</w:t>
      </w:r>
      <w:r w:rsidRPr="00BA23C6">
        <w:rPr>
          <w:sz w:val="20"/>
          <w:szCs w:val="20"/>
          <w:lang w:val="es-CO"/>
        </w:rPr>
        <w:t>.</w:t>
      </w:r>
    </w:p>
    <w:p w14:paraId="3AFDFC81" w14:textId="7B84E8DC" w:rsidR="00EA10E2" w:rsidRPr="00CF657B" w:rsidRDefault="00EA10E2" w:rsidP="00EA10E2">
      <w:pPr>
        <w:pStyle w:val="Ttulo3"/>
        <w:rPr>
          <w:sz w:val="20"/>
          <w:szCs w:val="20"/>
          <w:lang w:val="es-CO"/>
        </w:rPr>
      </w:pPr>
      <w:r w:rsidRPr="00CF657B">
        <w:rPr>
          <w:sz w:val="20"/>
          <w:szCs w:val="20"/>
          <w:lang w:val="es-CO"/>
        </w:rPr>
        <w:t>2.2 Iniciativas y Empresas</w:t>
      </w:r>
    </w:p>
    <w:p w14:paraId="264CC447" w14:textId="77777777" w:rsidR="00486B66" w:rsidRPr="00486B66" w:rsidRDefault="00486B66" w:rsidP="00486B66">
      <w:pPr>
        <w:rPr>
          <w:sz w:val="20"/>
          <w:szCs w:val="20"/>
          <w:lang w:val="es-CO"/>
        </w:rPr>
      </w:pPr>
      <w:r w:rsidRPr="00486B66">
        <w:rPr>
          <w:sz w:val="20"/>
          <w:szCs w:val="20"/>
          <w:lang w:val="es-CO"/>
        </w:rPr>
        <w:t xml:space="preserve">Entre las tres iniciativas analizadas, la </w:t>
      </w:r>
      <w:r w:rsidRPr="00486B66">
        <w:rPr>
          <w:b/>
          <w:bCs/>
          <w:sz w:val="20"/>
          <w:szCs w:val="20"/>
          <w:lang w:val="es-CO"/>
        </w:rPr>
        <w:t>Iniciativa 2</w:t>
      </w:r>
      <w:r w:rsidRPr="00486B66">
        <w:rPr>
          <w:sz w:val="20"/>
          <w:szCs w:val="20"/>
          <w:lang w:val="es-CO"/>
        </w:rPr>
        <w:t xml:space="preserve"> sobresale con el </w:t>
      </w:r>
      <w:r w:rsidRPr="00486B66">
        <w:rPr>
          <w:b/>
          <w:bCs/>
          <w:sz w:val="20"/>
          <w:szCs w:val="20"/>
          <w:lang w:val="es-CO"/>
        </w:rPr>
        <w:t>mayor volumen recolectado en el último trimestre</w:t>
      </w:r>
      <w:r w:rsidRPr="00486B66">
        <w:rPr>
          <w:sz w:val="20"/>
          <w:szCs w:val="20"/>
          <w:lang w:val="es-CO"/>
        </w:rPr>
        <w:t xml:space="preserve">, evidenciando </w:t>
      </w:r>
      <w:r w:rsidRPr="00486B66">
        <w:rPr>
          <w:b/>
          <w:bCs/>
          <w:sz w:val="20"/>
          <w:szCs w:val="20"/>
          <w:lang w:val="es-CO"/>
        </w:rPr>
        <w:t>alta productividad y eficiencia operativa</w:t>
      </w:r>
      <w:r w:rsidRPr="00486B66">
        <w:rPr>
          <w:sz w:val="20"/>
          <w:szCs w:val="20"/>
          <w:lang w:val="es-CO"/>
        </w:rPr>
        <w:t>.</w:t>
      </w:r>
    </w:p>
    <w:p w14:paraId="5E977AAA" w14:textId="5C37FDC8" w:rsidR="00EA10E2" w:rsidRPr="00EA10E2" w:rsidRDefault="00486B66" w:rsidP="00EA10E2">
      <w:pPr>
        <w:rPr>
          <w:sz w:val="20"/>
          <w:szCs w:val="20"/>
          <w:lang w:val="es-CO"/>
        </w:rPr>
      </w:pPr>
      <w:r w:rsidRPr="00486B66">
        <w:rPr>
          <w:sz w:val="20"/>
          <w:szCs w:val="20"/>
          <w:lang w:val="es-CO"/>
        </w:rPr>
        <w:t xml:space="preserve">En cuanto a la </w:t>
      </w:r>
      <w:r w:rsidRPr="00486B66">
        <w:rPr>
          <w:b/>
          <w:bCs/>
          <w:sz w:val="20"/>
          <w:szCs w:val="20"/>
          <w:lang w:val="es-CO"/>
        </w:rPr>
        <w:t>participación empresarial</w:t>
      </w:r>
      <w:r w:rsidRPr="00486B66">
        <w:rPr>
          <w:sz w:val="20"/>
          <w:szCs w:val="20"/>
          <w:lang w:val="es-CO"/>
        </w:rPr>
        <w:t xml:space="preserve">, la </w:t>
      </w:r>
      <w:r w:rsidRPr="00486B66">
        <w:rPr>
          <w:b/>
          <w:bCs/>
          <w:sz w:val="20"/>
          <w:szCs w:val="20"/>
          <w:lang w:val="es-CO"/>
        </w:rPr>
        <w:t>Empresa 1</w:t>
      </w:r>
      <w:r w:rsidRPr="00486B66">
        <w:rPr>
          <w:sz w:val="20"/>
          <w:szCs w:val="20"/>
          <w:lang w:val="es-CO"/>
        </w:rPr>
        <w:t xml:space="preserve"> lidera con </w:t>
      </w:r>
      <w:r w:rsidRPr="00486B66">
        <w:rPr>
          <w:b/>
          <w:bCs/>
          <w:sz w:val="20"/>
          <w:szCs w:val="20"/>
          <w:lang w:val="es-CO"/>
        </w:rPr>
        <w:t>18.000 toneladas</w:t>
      </w:r>
      <w:r w:rsidRPr="00486B66">
        <w:rPr>
          <w:sz w:val="20"/>
          <w:szCs w:val="20"/>
          <w:lang w:val="es-CO"/>
        </w:rPr>
        <w:t xml:space="preserve">, seguida de la </w:t>
      </w:r>
      <w:r w:rsidRPr="00486B66">
        <w:rPr>
          <w:b/>
          <w:bCs/>
          <w:sz w:val="20"/>
          <w:szCs w:val="20"/>
          <w:lang w:val="es-CO"/>
        </w:rPr>
        <w:t>Empresa 2</w:t>
      </w:r>
      <w:r w:rsidRPr="00486B66">
        <w:rPr>
          <w:sz w:val="20"/>
          <w:szCs w:val="20"/>
          <w:lang w:val="es-CO"/>
        </w:rPr>
        <w:t xml:space="preserve"> con </w:t>
      </w:r>
      <w:r w:rsidRPr="00486B66">
        <w:rPr>
          <w:b/>
          <w:bCs/>
          <w:sz w:val="20"/>
          <w:szCs w:val="20"/>
          <w:lang w:val="es-CO"/>
        </w:rPr>
        <w:t>8.015</w:t>
      </w:r>
      <w:r w:rsidRPr="00486B66">
        <w:rPr>
          <w:sz w:val="20"/>
          <w:szCs w:val="20"/>
          <w:lang w:val="es-CO"/>
        </w:rPr>
        <w:t xml:space="preserve"> y la </w:t>
      </w:r>
      <w:r w:rsidRPr="00486B66">
        <w:rPr>
          <w:b/>
          <w:bCs/>
          <w:sz w:val="20"/>
          <w:szCs w:val="20"/>
          <w:lang w:val="es-CO"/>
        </w:rPr>
        <w:t>Empresa 3</w:t>
      </w:r>
      <w:r w:rsidRPr="00486B66">
        <w:rPr>
          <w:sz w:val="20"/>
          <w:szCs w:val="20"/>
          <w:lang w:val="es-CO"/>
        </w:rPr>
        <w:t xml:space="preserve"> con </w:t>
      </w:r>
      <w:r w:rsidRPr="00486B66">
        <w:rPr>
          <w:b/>
          <w:bCs/>
          <w:sz w:val="20"/>
          <w:szCs w:val="20"/>
          <w:lang w:val="es-CO"/>
        </w:rPr>
        <w:t>5.600</w:t>
      </w:r>
      <w:r w:rsidRPr="00486B66">
        <w:rPr>
          <w:sz w:val="20"/>
          <w:szCs w:val="20"/>
          <w:lang w:val="es-CO"/>
        </w:rPr>
        <w:t xml:space="preserve">. Este resultado confirma que la </w:t>
      </w:r>
      <w:r w:rsidRPr="00486B66">
        <w:rPr>
          <w:b/>
          <w:bCs/>
          <w:sz w:val="20"/>
          <w:szCs w:val="20"/>
          <w:lang w:val="es-CO"/>
        </w:rPr>
        <w:t>Empresa 1 concentra la mayor parte de la operación y capacidad de transformación</w:t>
      </w:r>
      <w:r w:rsidRPr="00486B66">
        <w:rPr>
          <w:sz w:val="20"/>
          <w:szCs w:val="20"/>
          <w:lang w:val="es-CO"/>
        </w:rPr>
        <w:t xml:space="preserve"> del material reciclado.</w:t>
      </w:r>
    </w:p>
    <w:p w14:paraId="6E7DF036" w14:textId="77777777" w:rsidR="003E6B14" w:rsidRPr="00CF657B" w:rsidRDefault="003E6B14" w:rsidP="003E6B14">
      <w:pPr>
        <w:pStyle w:val="Ttulo3"/>
        <w:rPr>
          <w:sz w:val="20"/>
          <w:szCs w:val="20"/>
          <w:lang w:val="es-CO"/>
        </w:rPr>
      </w:pPr>
      <w:r w:rsidRPr="00CF657B">
        <w:rPr>
          <w:sz w:val="20"/>
          <w:szCs w:val="20"/>
          <w:lang w:val="es-CO"/>
        </w:rPr>
        <w:t>2.3 Gestores e Intermediarios</w:t>
      </w:r>
    </w:p>
    <w:p w14:paraId="7075292C" w14:textId="77777777" w:rsidR="003E6B14" w:rsidRPr="003E6B14" w:rsidRDefault="003E6B14" w:rsidP="003E6B14">
      <w:pPr>
        <w:rPr>
          <w:sz w:val="20"/>
          <w:szCs w:val="20"/>
          <w:lang w:val="es-CO"/>
        </w:rPr>
      </w:pPr>
      <w:r w:rsidRPr="003E6B14">
        <w:rPr>
          <w:sz w:val="20"/>
          <w:szCs w:val="20"/>
          <w:lang w:val="es-CO"/>
        </w:rPr>
        <w:t xml:space="preserve">Los </w:t>
      </w:r>
      <w:r w:rsidRPr="003E6B14">
        <w:rPr>
          <w:b/>
          <w:bCs/>
          <w:sz w:val="20"/>
          <w:szCs w:val="20"/>
          <w:lang w:val="es-CO"/>
        </w:rPr>
        <w:t>gestores</w:t>
      </w:r>
      <w:r w:rsidRPr="003E6B14">
        <w:rPr>
          <w:sz w:val="20"/>
          <w:szCs w:val="20"/>
          <w:lang w:val="es-CO"/>
        </w:rPr>
        <w:t xml:space="preserve"> son actores clave en la ejecución de las iniciativas. El </w:t>
      </w:r>
      <w:r w:rsidRPr="003E6B14">
        <w:rPr>
          <w:b/>
          <w:bCs/>
          <w:sz w:val="20"/>
          <w:szCs w:val="20"/>
          <w:lang w:val="es-CO"/>
        </w:rPr>
        <w:t>Gestor 25</w:t>
      </w:r>
      <w:r w:rsidRPr="003E6B14">
        <w:rPr>
          <w:sz w:val="20"/>
          <w:szCs w:val="20"/>
          <w:lang w:val="es-CO"/>
        </w:rPr>
        <w:t xml:space="preserve"> lidera la recolección con </w:t>
      </w:r>
      <w:r w:rsidRPr="003E6B14">
        <w:rPr>
          <w:b/>
          <w:bCs/>
          <w:sz w:val="20"/>
          <w:szCs w:val="20"/>
          <w:lang w:val="es-CO"/>
        </w:rPr>
        <w:t>2.133 toneladas</w:t>
      </w:r>
      <w:r w:rsidRPr="003E6B14">
        <w:rPr>
          <w:sz w:val="20"/>
          <w:szCs w:val="20"/>
          <w:lang w:val="es-CO"/>
        </w:rPr>
        <w:t xml:space="preserve"> entregadas solo en el último trimestre, mientras que otros gestores con más participaciones a lo largo del año presentan menores volúmenes, lo que indica </w:t>
      </w:r>
      <w:r w:rsidRPr="003E6B14">
        <w:rPr>
          <w:b/>
          <w:bCs/>
          <w:sz w:val="20"/>
          <w:szCs w:val="20"/>
          <w:lang w:val="es-CO"/>
        </w:rPr>
        <w:t>diferencias significativas en productividad y eficiencia logística</w:t>
      </w:r>
      <w:r w:rsidRPr="003E6B14">
        <w:rPr>
          <w:sz w:val="20"/>
          <w:szCs w:val="20"/>
          <w:lang w:val="es-CO"/>
        </w:rPr>
        <w:t>.</w:t>
      </w:r>
    </w:p>
    <w:p w14:paraId="59B96A01" w14:textId="77777777" w:rsidR="003E6B14" w:rsidRPr="003E6B14" w:rsidRDefault="003E6B14" w:rsidP="003E6B14">
      <w:pPr>
        <w:rPr>
          <w:sz w:val="20"/>
          <w:szCs w:val="20"/>
          <w:lang w:val="es-CO"/>
        </w:rPr>
      </w:pPr>
      <w:r w:rsidRPr="003E6B14">
        <w:rPr>
          <w:sz w:val="20"/>
          <w:szCs w:val="20"/>
          <w:lang w:val="es-CO"/>
        </w:rPr>
        <w:lastRenderedPageBreak/>
        <w:t xml:space="preserve">En cuanto a los </w:t>
      </w:r>
      <w:r w:rsidRPr="003E6B14">
        <w:rPr>
          <w:b/>
          <w:bCs/>
          <w:sz w:val="20"/>
          <w:szCs w:val="20"/>
          <w:lang w:val="es-CO"/>
        </w:rPr>
        <w:t>intermediarios</w:t>
      </w:r>
      <w:r w:rsidRPr="003E6B14">
        <w:rPr>
          <w:sz w:val="20"/>
          <w:szCs w:val="20"/>
          <w:lang w:val="es-CO"/>
        </w:rPr>
        <w:t xml:space="preserve">, el </w:t>
      </w:r>
      <w:r w:rsidRPr="003E6B14">
        <w:rPr>
          <w:b/>
          <w:bCs/>
          <w:sz w:val="20"/>
          <w:szCs w:val="20"/>
          <w:lang w:val="es-CO"/>
        </w:rPr>
        <w:t>Intermediario 124</w:t>
      </w:r>
      <w:r w:rsidRPr="003E6B14">
        <w:rPr>
          <w:sz w:val="20"/>
          <w:szCs w:val="20"/>
          <w:lang w:val="es-CO"/>
        </w:rPr>
        <w:t xml:space="preserve"> es el de mayor impacto con </w:t>
      </w:r>
      <w:r w:rsidRPr="003E6B14">
        <w:rPr>
          <w:b/>
          <w:bCs/>
          <w:sz w:val="20"/>
          <w:szCs w:val="20"/>
          <w:lang w:val="es-CO"/>
        </w:rPr>
        <w:t>1.487 toneladas recolectadas en el último trimestre</w:t>
      </w:r>
      <w:r w:rsidRPr="003E6B14">
        <w:rPr>
          <w:sz w:val="20"/>
          <w:szCs w:val="20"/>
          <w:lang w:val="es-CO"/>
        </w:rPr>
        <w:t>, frente al Intermediario 8 que, pese a múltiples entregas, logra un volumen total inferior.</w:t>
      </w:r>
    </w:p>
    <w:p w14:paraId="39248D4B" w14:textId="003E6F92" w:rsidR="003E6B14" w:rsidRPr="00CF657B" w:rsidRDefault="003E6B14" w:rsidP="003E6B14">
      <w:pPr>
        <w:rPr>
          <w:sz w:val="20"/>
          <w:szCs w:val="20"/>
          <w:lang w:val="es-CO"/>
        </w:rPr>
      </w:pPr>
      <w:r w:rsidRPr="003E6B14">
        <w:rPr>
          <w:sz w:val="20"/>
          <w:szCs w:val="20"/>
          <w:lang w:val="es-CO"/>
        </w:rPr>
        <w:t xml:space="preserve">Estos hallazgos muestran que los principales picos de desempeño se concentran en los últimos tres meses del año, periodo en el que la recolección total osciló entre </w:t>
      </w:r>
      <w:r w:rsidRPr="003E6B14">
        <w:rPr>
          <w:b/>
          <w:bCs/>
          <w:sz w:val="20"/>
          <w:szCs w:val="20"/>
          <w:lang w:val="es-CO"/>
        </w:rPr>
        <w:t>9.000 y 11.000 toneladas</w:t>
      </w:r>
      <w:r w:rsidR="009E0E28" w:rsidRPr="00CF657B">
        <w:rPr>
          <w:b/>
          <w:bCs/>
          <w:sz w:val="20"/>
          <w:szCs w:val="20"/>
          <w:lang w:val="es-CO"/>
        </w:rPr>
        <w:t xml:space="preserve"> por mes</w:t>
      </w:r>
      <w:r w:rsidRPr="003E6B14">
        <w:rPr>
          <w:sz w:val="20"/>
          <w:szCs w:val="20"/>
          <w:lang w:val="es-CO"/>
        </w:rPr>
        <w:t>, frente a los bajos niveles (20 a 120 toneladas) observados en los meses anteriores.</w:t>
      </w:r>
    </w:p>
    <w:p w14:paraId="3EF5CFA8" w14:textId="77777777" w:rsidR="000D5B58" w:rsidRPr="00CF657B" w:rsidRDefault="000D5B58" w:rsidP="000D5B58">
      <w:pPr>
        <w:pStyle w:val="Ttulo3"/>
        <w:rPr>
          <w:sz w:val="20"/>
          <w:szCs w:val="20"/>
          <w:lang w:val="es-CO"/>
        </w:rPr>
      </w:pPr>
      <w:r w:rsidRPr="00CF657B">
        <w:rPr>
          <w:sz w:val="20"/>
          <w:szCs w:val="20"/>
          <w:lang w:val="es-CO"/>
        </w:rPr>
        <w:t>2.4 Análisis Geográfico</w:t>
      </w:r>
    </w:p>
    <w:p w14:paraId="61F49F06" w14:textId="77777777" w:rsidR="00D62DCB" w:rsidRPr="00D62DCB" w:rsidRDefault="00D62DCB" w:rsidP="00D62DCB">
      <w:pPr>
        <w:rPr>
          <w:sz w:val="20"/>
          <w:szCs w:val="20"/>
          <w:lang w:val="es-CO"/>
        </w:rPr>
      </w:pPr>
      <w:r w:rsidRPr="00D62DCB">
        <w:rPr>
          <w:sz w:val="20"/>
          <w:szCs w:val="20"/>
          <w:lang w:val="es-CO"/>
        </w:rPr>
        <w:t xml:space="preserve">Las ciudades con mayor volumen recolectado fueron </w:t>
      </w:r>
      <w:r w:rsidRPr="00D62DCB">
        <w:rPr>
          <w:b/>
          <w:bCs/>
          <w:sz w:val="20"/>
          <w:szCs w:val="20"/>
          <w:lang w:val="es-CO"/>
        </w:rPr>
        <w:t>Bogotá (4.700 toneladas)</w:t>
      </w:r>
      <w:r w:rsidRPr="00D62DCB">
        <w:rPr>
          <w:sz w:val="20"/>
          <w:szCs w:val="20"/>
          <w:lang w:val="es-CO"/>
        </w:rPr>
        <w:t xml:space="preserve">, </w:t>
      </w:r>
      <w:r w:rsidRPr="00D62DCB">
        <w:rPr>
          <w:b/>
          <w:bCs/>
          <w:sz w:val="20"/>
          <w:szCs w:val="20"/>
          <w:lang w:val="es-CO"/>
        </w:rPr>
        <w:t>Medellín (4.200)</w:t>
      </w:r>
      <w:r w:rsidRPr="00D62DCB">
        <w:rPr>
          <w:sz w:val="20"/>
          <w:szCs w:val="20"/>
          <w:lang w:val="es-CO"/>
        </w:rPr>
        <w:t xml:space="preserve">, </w:t>
      </w:r>
      <w:r w:rsidRPr="00D62DCB">
        <w:rPr>
          <w:b/>
          <w:bCs/>
          <w:sz w:val="20"/>
          <w:szCs w:val="20"/>
          <w:lang w:val="es-CO"/>
        </w:rPr>
        <w:t>Villavicencio (3.200)</w:t>
      </w:r>
      <w:r w:rsidRPr="00D62DCB">
        <w:rPr>
          <w:sz w:val="20"/>
          <w:szCs w:val="20"/>
          <w:lang w:val="es-CO"/>
        </w:rPr>
        <w:t xml:space="preserve">, </w:t>
      </w:r>
      <w:r w:rsidRPr="00D62DCB">
        <w:rPr>
          <w:b/>
          <w:bCs/>
          <w:sz w:val="20"/>
          <w:szCs w:val="20"/>
          <w:lang w:val="es-CO"/>
        </w:rPr>
        <w:t>Bucaramanga (1.900)</w:t>
      </w:r>
      <w:r w:rsidRPr="00D62DCB">
        <w:rPr>
          <w:sz w:val="20"/>
          <w:szCs w:val="20"/>
          <w:lang w:val="es-CO"/>
        </w:rPr>
        <w:t xml:space="preserve"> y </w:t>
      </w:r>
      <w:r w:rsidRPr="00D62DCB">
        <w:rPr>
          <w:b/>
          <w:bCs/>
          <w:sz w:val="20"/>
          <w:szCs w:val="20"/>
          <w:lang w:val="es-CO"/>
        </w:rPr>
        <w:t>Cali (1.600)</w:t>
      </w:r>
      <w:r w:rsidRPr="00D62DCB">
        <w:rPr>
          <w:sz w:val="20"/>
          <w:szCs w:val="20"/>
          <w:lang w:val="es-CO"/>
        </w:rPr>
        <w:t>.</w:t>
      </w:r>
      <w:r w:rsidRPr="00D62DCB">
        <w:rPr>
          <w:sz w:val="20"/>
          <w:szCs w:val="20"/>
          <w:lang w:val="es-CO"/>
        </w:rPr>
        <w:br/>
        <w:t xml:space="preserve">Por departamentos, destacan </w:t>
      </w:r>
      <w:r w:rsidRPr="00D62DCB">
        <w:rPr>
          <w:b/>
          <w:bCs/>
          <w:sz w:val="20"/>
          <w:szCs w:val="20"/>
          <w:lang w:val="es-CO"/>
        </w:rPr>
        <w:t>Antioquia (7.300 toneladas)</w:t>
      </w:r>
      <w:r w:rsidRPr="00D62DCB">
        <w:rPr>
          <w:sz w:val="20"/>
          <w:szCs w:val="20"/>
          <w:lang w:val="es-CO"/>
        </w:rPr>
        <w:t xml:space="preserve">, </w:t>
      </w:r>
      <w:r w:rsidRPr="00D62DCB">
        <w:rPr>
          <w:b/>
          <w:bCs/>
          <w:sz w:val="20"/>
          <w:szCs w:val="20"/>
          <w:lang w:val="es-CO"/>
        </w:rPr>
        <w:t>Bogotá D.C. (4.700)</w:t>
      </w:r>
      <w:r w:rsidRPr="00D62DCB">
        <w:rPr>
          <w:sz w:val="20"/>
          <w:szCs w:val="20"/>
          <w:lang w:val="es-CO"/>
        </w:rPr>
        <w:t xml:space="preserve"> y </w:t>
      </w:r>
      <w:r w:rsidRPr="00D62DCB">
        <w:rPr>
          <w:b/>
          <w:bCs/>
          <w:sz w:val="20"/>
          <w:szCs w:val="20"/>
          <w:lang w:val="es-CO"/>
        </w:rPr>
        <w:t>Meta (3.200)</w:t>
      </w:r>
      <w:r w:rsidRPr="00D62DCB">
        <w:rPr>
          <w:sz w:val="20"/>
          <w:szCs w:val="20"/>
          <w:lang w:val="es-CO"/>
        </w:rPr>
        <w:t>.</w:t>
      </w:r>
    </w:p>
    <w:p w14:paraId="0895275F" w14:textId="68B0A8D9" w:rsidR="000C1845" w:rsidRPr="00CF657B" w:rsidRDefault="00D62DCB" w:rsidP="00D62DCB">
      <w:pPr>
        <w:rPr>
          <w:sz w:val="20"/>
          <w:szCs w:val="20"/>
          <w:lang w:val="es-CO"/>
        </w:rPr>
      </w:pPr>
      <w:r w:rsidRPr="00D62DCB">
        <w:rPr>
          <w:sz w:val="20"/>
          <w:szCs w:val="20"/>
          <w:lang w:val="es-CO"/>
        </w:rPr>
        <w:t xml:space="preserve">Estos resultados evidencian una </w:t>
      </w:r>
      <w:r w:rsidRPr="00D62DCB">
        <w:rPr>
          <w:b/>
          <w:bCs/>
          <w:sz w:val="20"/>
          <w:szCs w:val="20"/>
          <w:lang w:val="es-CO"/>
        </w:rPr>
        <w:t>concentración operativa en regiones con mejor infraestructura</w:t>
      </w:r>
      <w:r w:rsidRPr="00D62DCB">
        <w:rPr>
          <w:sz w:val="20"/>
          <w:szCs w:val="20"/>
          <w:lang w:val="es-CO"/>
        </w:rPr>
        <w:t xml:space="preserve">, lo que plantea </w:t>
      </w:r>
      <w:r w:rsidRPr="00D62DCB">
        <w:rPr>
          <w:b/>
          <w:bCs/>
          <w:sz w:val="20"/>
          <w:szCs w:val="20"/>
          <w:lang w:val="es-CO"/>
        </w:rPr>
        <w:t>oportunidades de expansión</w:t>
      </w:r>
      <w:r w:rsidRPr="00D62DCB">
        <w:rPr>
          <w:sz w:val="20"/>
          <w:szCs w:val="20"/>
          <w:lang w:val="es-CO"/>
        </w:rPr>
        <w:t xml:space="preserve"> hacia zonas con menor cobertura.</w:t>
      </w:r>
    </w:p>
    <w:p w14:paraId="46E1674F" w14:textId="77777777" w:rsidR="00D0714B" w:rsidRPr="00CF657B" w:rsidRDefault="00D62DCB">
      <w:pPr>
        <w:pStyle w:val="Ttulo2"/>
        <w:rPr>
          <w:sz w:val="24"/>
          <w:szCs w:val="24"/>
          <w:lang w:val="es-CO"/>
        </w:rPr>
      </w:pPr>
      <w:r w:rsidRPr="00CF657B">
        <w:rPr>
          <w:sz w:val="24"/>
          <w:szCs w:val="24"/>
          <w:lang w:val="es-CO"/>
        </w:rPr>
        <w:t>3</w:t>
      </w:r>
      <w:r w:rsidRPr="00CF657B">
        <w:rPr>
          <w:sz w:val="24"/>
          <w:szCs w:val="24"/>
          <w:lang w:val="es-CO"/>
        </w:rPr>
        <w:t>. Interpretación y aprendizajes clave</w:t>
      </w:r>
    </w:p>
    <w:p w14:paraId="767B0B90" w14:textId="77777777" w:rsidR="000C1845" w:rsidRPr="000C1845" w:rsidRDefault="000C1845" w:rsidP="000C1845">
      <w:pPr>
        <w:rPr>
          <w:sz w:val="20"/>
          <w:szCs w:val="20"/>
          <w:lang w:val="es-CO"/>
        </w:rPr>
      </w:pPr>
      <w:r w:rsidRPr="000C1845">
        <w:rPr>
          <w:sz w:val="20"/>
          <w:szCs w:val="20"/>
          <w:lang w:val="es-CO"/>
        </w:rPr>
        <w:t xml:space="preserve">El análisis evidencia un </w:t>
      </w:r>
      <w:r w:rsidRPr="000C1845">
        <w:rPr>
          <w:b/>
          <w:bCs/>
          <w:sz w:val="20"/>
          <w:szCs w:val="20"/>
          <w:lang w:val="es-CO"/>
        </w:rPr>
        <w:t>desempeño sólido en términos de volumen total recolectado</w:t>
      </w:r>
      <w:r w:rsidRPr="000C1845">
        <w:rPr>
          <w:sz w:val="20"/>
          <w:szCs w:val="20"/>
          <w:lang w:val="es-CO"/>
        </w:rPr>
        <w:t xml:space="preserve">, pero con </w:t>
      </w:r>
      <w:r w:rsidRPr="000C1845">
        <w:rPr>
          <w:b/>
          <w:bCs/>
          <w:sz w:val="20"/>
          <w:szCs w:val="20"/>
          <w:lang w:val="es-CO"/>
        </w:rPr>
        <w:t>ineficiencias en la conversión de materiales en E&amp;E</w:t>
      </w:r>
      <w:r w:rsidRPr="000C1845">
        <w:rPr>
          <w:sz w:val="20"/>
          <w:szCs w:val="20"/>
          <w:lang w:val="es-CO"/>
        </w:rPr>
        <w:t>. Los altos niveles de concentración en pocas iniciativas, gestores e intermediarios sugieren la necesidad de:</w:t>
      </w:r>
    </w:p>
    <w:p w14:paraId="69779A08" w14:textId="77777777" w:rsidR="000C1845" w:rsidRPr="000C1845" w:rsidRDefault="000C1845" w:rsidP="000C1845">
      <w:pPr>
        <w:numPr>
          <w:ilvl w:val="0"/>
          <w:numId w:val="15"/>
        </w:numPr>
        <w:rPr>
          <w:sz w:val="20"/>
          <w:szCs w:val="20"/>
          <w:lang w:val="es-CO"/>
        </w:rPr>
      </w:pPr>
      <w:r w:rsidRPr="000C1845">
        <w:rPr>
          <w:b/>
          <w:bCs/>
          <w:sz w:val="20"/>
          <w:szCs w:val="20"/>
          <w:lang w:val="es-CO"/>
        </w:rPr>
        <w:t>Fortalecer la capacitación y apoyo logístico</w:t>
      </w:r>
      <w:r w:rsidRPr="000C1845">
        <w:rPr>
          <w:sz w:val="20"/>
          <w:szCs w:val="20"/>
          <w:lang w:val="es-CO"/>
        </w:rPr>
        <w:t xml:space="preserve"> a los gestores de bajo rendimiento para equilibrar la operación nacional.</w:t>
      </w:r>
    </w:p>
    <w:p w14:paraId="2C5D1586" w14:textId="77777777" w:rsidR="000C1845" w:rsidRPr="000C1845" w:rsidRDefault="000C1845" w:rsidP="000C1845">
      <w:pPr>
        <w:numPr>
          <w:ilvl w:val="0"/>
          <w:numId w:val="15"/>
        </w:numPr>
        <w:rPr>
          <w:sz w:val="20"/>
          <w:szCs w:val="20"/>
          <w:lang w:val="es-CO"/>
        </w:rPr>
      </w:pPr>
      <w:r w:rsidRPr="000C1845">
        <w:rPr>
          <w:b/>
          <w:bCs/>
          <w:sz w:val="20"/>
          <w:szCs w:val="20"/>
          <w:lang w:val="es-CO"/>
        </w:rPr>
        <w:t>Optimizar los procesos de transformación de materiales</w:t>
      </w:r>
      <w:r w:rsidRPr="000C1845">
        <w:rPr>
          <w:sz w:val="20"/>
          <w:szCs w:val="20"/>
          <w:lang w:val="es-CO"/>
        </w:rPr>
        <w:t>, especialmente en el cartón, donde existe un alto potencial de mejora en la tasa de aprovechamiento.</w:t>
      </w:r>
    </w:p>
    <w:p w14:paraId="0A0F8FBF" w14:textId="77777777" w:rsidR="000C1845" w:rsidRPr="000C1845" w:rsidRDefault="000C1845" w:rsidP="000C1845">
      <w:pPr>
        <w:numPr>
          <w:ilvl w:val="0"/>
          <w:numId w:val="15"/>
        </w:numPr>
        <w:rPr>
          <w:sz w:val="20"/>
          <w:szCs w:val="20"/>
          <w:lang w:val="es-CO"/>
        </w:rPr>
      </w:pPr>
      <w:r w:rsidRPr="000C1845">
        <w:rPr>
          <w:b/>
          <w:bCs/>
          <w:sz w:val="20"/>
          <w:szCs w:val="20"/>
          <w:lang w:val="es-CO"/>
        </w:rPr>
        <w:t>Promover la diversificación geográfica</w:t>
      </w:r>
      <w:r w:rsidRPr="000C1845">
        <w:rPr>
          <w:sz w:val="20"/>
          <w:szCs w:val="20"/>
          <w:lang w:val="es-CO"/>
        </w:rPr>
        <w:t xml:space="preserve"> del programa, extendiendo el alcance de las iniciativas hacia ciudades y departamentos con baja participación.</w:t>
      </w:r>
    </w:p>
    <w:p w14:paraId="120A529A" w14:textId="77777777" w:rsidR="000C1845" w:rsidRPr="000C1845" w:rsidRDefault="000C1845" w:rsidP="000C1845">
      <w:pPr>
        <w:numPr>
          <w:ilvl w:val="0"/>
          <w:numId w:val="15"/>
        </w:numPr>
        <w:rPr>
          <w:sz w:val="20"/>
          <w:szCs w:val="20"/>
          <w:lang w:val="es-CO"/>
        </w:rPr>
      </w:pPr>
      <w:r w:rsidRPr="000C1845">
        <w:rPr>
          <w:b/>
          <w:bCs/>
          <w:sz w:val="20"/>
          <w:szCs w:val="20"/>
          <w:lang w:val="es-CO"/>
        </w:rPr>
        <w:t>Monitorear mensualmente los indicadores clave (KPI)</w:t>
      </w:r>
      <w:r w:rsidRPr="000C1845">
        <w:rPr>
          <w:sz w:val="20"/>
          <w:szCs w:val="20"/>
          <w:lang w:val="es-CO"/>
        </w:rPr>
        <w:t xml:space="preserve"> en Power BI, como volumen total recolectado, eficiencia de aprovechamiento y participación por actor, para tomar decisiones basadas en datos.</w:t>
      </w:r>
    </w:p>
    <w:p w14:paraId="0FF99FFB" w14:textId="6CDBA494" w:rsidR="000C1845" w:rsidRPr="00CF657B" w:rsidRDefault="000C1845" w:rsidP="000C1845">
      <w:pPr>
        <w:rPr>
          <w:sz w:val="20"/>
          <w:szCs w:val="20"/>
          <w:lang w:val="es-CO"/>
        </w:rPr>
      </w:pPr>
      <w:r w:rsidRPr="000C1845">
        <w:rPr>
          <w:sz w:val="20"/>
          <w:szCs w:val="20"/>
          <w:lang w:val="es-CO"/>
        </w:rPr>
        <w:t xml:space="preserve">El </w:t>
      </w:r>
      <w:r w:rsidRPr="000C1845">
        <w:rPr>
          <w:b/>
          <w:bCs/>
          <w:sz w:val="20"/>
          <w:szCs w:val="20"/>
          <w:lang w:val="es-CO"/>
        </w:rPr>
        <w:t>dashboard en Power BI</w:t>
      </w:r>
      <w:r w:rsidRPr="000C1845">
        <w:rPr>
          <w:sz w:val="20"/>
          <w:szCs w:val="20"/>
          <w:lang w:val="es-CO"/>
        </w:rPr>
        <w:t xml:space="preserve"> desarrollado permite un seguimiento ágil y visual de estos indicadores, facilitando la toma de decisiones estratégicas y la comunicación efectiva de los resultados a los diferentes grupos de interés.</w:t>
      </w:r>
    </w:p>
    <w:p w14:paraId="1282CB88" w14:textId="77886A36" w:rsidR="00D0714B" w:rsidRPr="00CF657B" w:rsidRDefault="00D62DCB">
      <w:pPr>
        <w:pStyle w:val="Ttulo2"/>
        <w:rPr>
          <w:sz w:val="24"/>
          <w:szCs w:val="24"/>
          <w:lang w:val="es-CO"/>
        </w:rPr>
      </w:pPr>
      <w:r w:rsidRPr="00CF657B">
        <w:rPr>
          <w:sz w:val="24"/>
          <w:szCs w:val="24"/>
          <w:lang w:val="es-CO"/>
        </w:rPr>
        <w:t>4</w:t>
      </w:r>
      <w:r w:rsidRPr="00CF657B">
        <w:rPr>
          <w:sz w:val="24"/>
          <w:szCs w:val="24"/>
          <w:lang w:val="es-CO"/>
        </w:rPr>
        <w:t xml:space="preserve">. </w:t>
      </w:r>
      <w:r w:rsidR="00DF3073" w:rsidRPr="00CF657B">
        <w:rPr>
          <w:sz w:val="24"/>
          <w:szCs w:val="24"/>
        </w:rPr>
        <w:t>Seguimiento y Uso del Dashboard</w:t>
      </w:r>
    </w:p>
    <w:p w14:paraId="3EC6E651" w14:textId="75C544D8" w:rsidR="00D0714B" w:rsidRPr="00CF657B" w:rsidRDefault="003D109E" w:rsidP="003D109E">
      <w:pPr>
        <w:rPr>
          <w:sz w:val="20"/>
          <w:szCs w:val="20"/>
          <w:lang w:val="es-CO"/>
        </w:rPr>
      </w:pPr>
      <w:r w:rsidRPr="00CF657B">
        <w:rPr>
          <w:sz w:val="20"/>
          <w:szCs w:val="20"/>
          <w:lang w:val="es-CO"/>
        </w:rPr>
        <w:t xml:space="preserve">Las hojas y visualizaciones desarrolladas en Power BI complementan el presente análisis. En las primeras páginas del dashboard se encuentra el detalle completo del comportamiento por iniciativa, gestor, intermediario y empresa, mientras que el tablero </w:t>
      </w:r>
      <w:r w:rsidRPr="00CF657B">
        <w:rPr>
          <w:b/>
          <w:bCs/>
          <w:sz w:val="20"/>
          <w:szCs w:val="20"/>
          <w:lang w:val="es-CO"/>
        </w:rPr>
        <w:t>“Análisis por Familia”</w:t>
      </w:r>
      <w:r w:rsidRPr="00CF657B">
        <w:rPr>
          <w:sz w:val="20"/>
          <w:szCs w:val="20"/>
          <w:lang w:val="es-CO"/>
        </w:rPr>
        <w:t xml:space="preserve"> permite profundizar en los tipos de material, sus familias, el volumen recolectado y los porcentajes de aprovechamiento asociados.</w:t>
      </w:r>
      <w:r w:rsidRPr="00CF657B">
        <w:rPr>
          <w:sz w:val="20"/>
          <w:szCs w:val="20"/>
          <w:lang w:val="es-CO"/>
        </w:rPr>
        <w:br/>
        <w:t xml:space="preserve">Este tablero de control está diseñado como una </w:t>
      </w:r>
      <w:r w:rsidRPr="00CF657B">
        <w:rPr>
          <w:b/>
          <w:bCs/>
          <w:sz w:val="20"/>
          <w:szCs w:val="20"/>
          <w:lang w:val="es-CO"/>
        </w:rPr>
        <w:t>herramienta de seguimiento continuo</w:t>
      </w:r>
      <w:r w:rsidRPr="00CF657B">
        <w:rPr>
          <w:sz w:val="20"/>
          <w:szCs w:val="20"/>
          <w:lang w:val="es-CO"/>
        </w:rPr>
        <w:t xml:space="preserve"> que facilita a la dirección de CEMPRE y a las empresas asociadas monitorear los avances, identificar tendencias y evaluar el cumplimiento de las recomendaciones planteadas en este informe. Su uso regular permitirá </w:t>
      </w:r>
      <w:r w:rsidRPr="00CF657B">
        <w:rPr>
          <w:b/>
          <w:bCs/>
          <w:sz w:val="20"/>
          <w:szCs w:val="20"/>
          <w:lang w:val="es-CO"/>
        </w:rPr>
        <w:t>mantener una visión integral y dinámica</w:t>
      </w:r>
      <w:r w:rsidRPr="00CF657B">
        <w:rPr>
          <w:sz w:val="20"/>
          <w:szCs w:val="20"/>
          <w:lang w:val="es-CO"/>
        </w:rPr>
        <w:t xml:space="preserve"> del desempeño de las iniciativas de reciclaje, fortaleciendo la toma de decisiones basada en datos.</w:t>
      </w:r>
    </w:p>
    <w:sectPr w:rsidR="00D0714B" w:rsidRPr="00CF657B"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F4140" w14:textId="77777777" w:rsidR="00550605" w:rsidRDefault="00550605" w:rsidP="00550605">
      <w:pPr>
        <w:spacing w:after="0" w:line="240" w:lineRule="auto"/>
      </w:pPr>
      <w:r>
        <w:separator/>
      </w:r>
    </w:p>
  </w:endnote>
  <w:endnote w:type="continuationSeparator" w:id="0">
    <w:p w14:paraId="12318C8A" w14:textId="77777777" w:rsidR="00550605" w:rsidRDefault="00550605" w:rsidP="00550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EC192" w14:textId="77777777" w:rsidR="00550605" w:rsidRDefault="00550605" w:rsidP="00550605">
      <w:pPr>
        <w:spacing w:after="0" w:line="240" w:lineRule="auto"/>
      </w:pPr>
      <w:r>
        <w:separator/>
      </w:r>
    </w:p>
  </w:footnote>
  <w:footnote w:type="continuationSeparator" w:id="0">
    <w:p w14:paraId="1A823A2B" w14:textId="77777777" w:rsidR="00550605" w:rsidRDefault="00550605" w:rsidP="00550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29F19" w14:textId="0D07EFD9" w:rsidR="00550605" w:rsidRPr="00550605" w:rsidRDefault="00550605" w:rsidP="00550605">
    <w:pPr>
      <w:pStyle w:val="Encabezado"/>
    </w:pPr>
    <w:r>
      <w:rPr>
        <w:noProof/>
      </w:rPr>
      <w:drawing>
        <wp:anchor distT="0" distB="0" distL="114300" distR="114300" simplePos="0" relativeHeight="251658240" behindDoc="1" locked="0" layoutInCell="1" allowOverlap="1" wp14:anchorId="04891BCC" wp14:editId="0A07405B">
          <wp:simplePos x="0" y="0"/>
          <wp:positionH relativeFrom="column">
            <wp:posOffset>-1143000</wp:posOffset>
          </wp:positionH>
          <wp:positionV relativeFrom="paragraph">
            <wp:posOffset>-243840</wp:posOffset>
          </wp:positionV>
          <wp:extent cx="2340869" cy="673609"/>
          <wp:effectExtent l="0" t="0" r="0" b="0"/>
          <wp:wrapNone/>
          <wp:docPr id="71667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7742" name="Imagen 71667742"/>
                  <pic:cNvPicPr/>
                </pic:nvPicPr>
                <pic:blipFill>
                  <a:blip r:embed="rId1"/>
                  <a:stretch>
                    <a:fillRect/>
                  </a:stretch>
                </pic:blipFill>
                <pic:spPr>
                  <a:xfrm>
                    <a:off x="0" y="0"/>
                    <a:ext cx="2340869" cy="6736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AB103D3"/>
    <w:multiLevelType w:val="multilevel"/>
    <w:tmpl w:val="DA02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C03A7"/>
    <w:multiLevelType w:val="multilevel"/>
    <w:tmpl w:val="9502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213E2"/>
    <w:multiLevelType w:val="multilevel"/>
    <w:tmpl w:val="DD8E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02816"/>
    <w:multiLevelType w:val="multilevel"/>
    <w:tmpl w:val="1960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811CA"/>
    <w:multiLevelType w:val="multilevel"/>
    <w:tmpl w:val="2D82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0464F"/>
    <w:multiLevelType w:val="multilevel"/>
    <w:tmpl w:val="2C64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315585">
    <w:abstractNumId w:val="8"/>
  </w:num>
  <w:num w:numId="2" w16cid:durableId="706873437">
    <w:abstractNumId w:val="6"/>
  </w:num>
  <w:num w:numId="3" w16cid:durableId="994645013">
    <w:abstractNumId w:val="5"/>
  </w:num>
  <w:num w:numId="4" w16cid:durableId="920338386">
    <w:abstractNumId w:val="4"/>
  </w:num>
  <w:num w:numId="5" w16cid:durableId="1134176117">
    <w:abstractNumId w:val="7"/>
  </w:num>
  <w:num w:numId="6" w16cid:durableId="835612371">
    <w:abstractNumId w:val="3"/>
  </w:num>
  <w:num w:numId="7" w16cid:durableId="907233044">
    <w:abstractNumId w:val="2"/>
  </w:num>
  <w:num w:numId="8" w16cid:durableId="1907522681">
    <w:abstractNumId w:val="1"/>
  </w:num>
  <w:num w:numId="9" w16cid:durableId="2108234542">
    <w:abstractNumId w:val="0"/>
  </w:num>
  <w:num w:numId="10" w16cid:durableId="817769373">
    <w:abstractNumId w:val="10"/>
  </w:num>
  <w:num w:numId="11" w16cid:durableId="730083861">
    <w:abstractNumId w:val="14"/>
  </w:num>
  <w:num w:numId="12" w16cid:durableId="42339117">
    <w:abstractNumId w:val="13"/>
  </w:num>
  <w:num w:numId="13" w16cid:durableId="1748723853">
    <w:abstractNumId w:val="11"/>
  </w:num>
  <w:num w:numId="14" w16cid:durableId="1290475291">
    <w:abstractNumId w:val="9"/>
  </w:num>
  <w:num w:numId="15" w16cid:durableId="20557651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1845"/>
    <w:rsid w:val="000D5B58"/>
    <w:rsid w:val="0015074B"/>
    <w:rsid w:val="0029639D"/>
    <w:rsid w:val="00326F90"/>
    <w:rsid w:val="00366507"/>
    <w:rsid w:val="003D109E"/>
    <w:rsid w:val="003D6D35"/>
    <w:rsid w:val="003E6B14"/>
    <w:rsid w:val="00486B66"/>
    <w:rsid w:val="004F65BB"/>
    <w:rsid w:val="00550605"/>
    <w:rsid w:val="00561755"/>
    <w:rsid w:val="00996DFB"/>
    <w:rsid w:val="009E0E28"/>
    <w:rsid w:val="00A75664"/>
    <w:rsid w:val="00AA1D8D"/>
    <w:rsid w:val="00B47730"/>
    <w:rsid w:val="00BA23C6"/>
    <w:rsid w:val="00CB0664"/>
    <w:rsid w:val="00CE0998"/>
    <w:rsid w:val="00CF657B"/>
    <w:rsid w:val="00D0714B"/>
    <w:rsid w:val="00D62DCB"/>
    <w:rsid w:val="00DF3073"/>
    <w:rsid w:val="00EA10E2"/>
    <w:rsid w:val="00FC693F"/>
    <w:rsid w:val="00FE6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2ECA1B"/>
  <w14:defaultImageDpi w14:val="300"/>
  <w15:docId w15:val="{FD1DDECC-A931-4337-B95C-4CF1D434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Pages>
  <Words>883</Words>
  <Characters>4859</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Andres Salcedo</cp:lastModifiedBy>
  <cp:revision>18</cp:revision>
  <dcterms:created xsi:type="dcterms:W3CDTF">2025-10-28T05:22:00Z</dcterms:created>
  <dcterms:modified xsi:type="dcterms:W3CDTF">2025-10-28T07:44:00Z</dcterms:modified>
  <cp:category/>
</cp:coreProperties>
</file>