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jc w:val="center"/>
      </w:pPr>
      <w:r>
        <w:rPr>
          <w:rFonts w:ascii="Times New Roman" w:hAnsi="Times New Roman" w:cs="Times New Roman" w:eastAsia="Times New Roman"/>
          <w:b w:val="0"/>
          <w:sz w:val="24"/>
        </w:rPr>
      </w:r>
    </w:p>
    <w:p>
      <w:pPr>
        <w:spacing w:line="480" w:lineRule="auto"/>
        <w:ind w:firstLine="0"/>
        <w:jc w:val="center"/>
      </w:pPr>
      <w:r>
        <w:rPr>
          <w:rFonts w:ascii="Times New Roman" w:hAnsi="Times New Roman" w:cs="Times New Roman" w:eastAsia="Times New Roman"/>
          <w:b w:val="0"/>
          <w:sz w:val="24"/>
        </w:rPr>
      </w:r>
    </w:p>
    <w:p>
      <w:pPr>
        <w:spacing w:line="480" w:lineRule="auto"/>
        <w:ind w:firstLine="0"/>
        <w:jc w:val="center"/>
      </w:pPr>
      <w:r>
        <w:rPr>
          <w:rFonts w:ascii="Times New Roman" w:hAnsi="Times New Roman" w:cs="Times New Roman" w:eastAsia="Times New Roman"/>
          <w:b w:val="0"/>
          <w:sz w:val="24"/>
        </w:rPr>
      </w:r>
    </w:p>
    <w:p>
      <w:pPr>
        <w:spacing w:line="480" w:lineRule="auto"/>
        <w:ind w:firstLine="0"/>
        <w:jc w:val="center"/>
      </w:pPr>
      <w:r>
        <w:rPr>
          <w:rFonts w:ascii="Times New Roman" w:hAnsi="Times New Roman" w:cs="Times New Roman" w:eastAsia="Times New Roman"/>
          <w:b/>
          <w:sz w:val="24"/>
        </w:rPr>
        <w:t>Alivia: Plataforma Digital de Gestión Unificada de Recordatorios</w:t>
      </w:r>
    </w:p>
    <w:p>
      <w:pPr>
        <w:spacing w:line="480" w:lineRule="auto"/>
        <w:ind w:firstLine="0"/>
        <w:jc w:val="center"/>
      </w:pPr>
      <w:r>
        <w:rPr>
          <w:rFonts w:ascii="Times New Roman" w:hAnsi="Times New Roman" w:cs="Times New Roman" w:eastAsia="Times New Roman"/>
          <w:b/>
          <w:sz w:val="24"/>
        </w:rPr>
        <w:t>para la Vida Adulta</w:t>
      </w:r>
    </w:p>
    <w:p>
      <w:pPr>
        <w:spacing w:line="480" w:lineRule="auto"/>
        <w:ind w:firstLine="0"/>
        <w:jc w:val="center"/>
      </w:pPr>
      <w:r>
        <w:rPr>
          <w:rFonts w:ascii="Times New Roman" w:hAnsi="Times New Roman" w:cs="Times New Roman" w:eastAsia="Times New Roman"/>
          <w:b w:val="0"/>
          <w:sz w:val="24"/>
        </w:rPr>
      </w:r>
    </w:p>
    <w:p>
      <w:pPr>
        <w:spacing w:line="480" w:lineRule="auto"/>
        <w:ind w:firstLine="0"/>
        <w:jc w:val="center"/>
      </w:pPr>
      <w:r>
        <w:rPr>
          <w:rFonts w:ascii="Times New Roman" w:hAnsi="Times New Roman" w:cs="Times New Roman" w:eastAsia="Times New Roman"/>
          <w:b w:val="0"/>
          <w:sz w:val="24"/>
        </w:rPr>
        <w:t>Entrega 1. Perfil del Proyecto</w:t>
      </w:r>
    </w:p>
    <w:p>
      <w:pPr>
        <w:spacing w:line="480" w:lineRule="auto"/>
        <w:ind w:firstLine="0"/>
        <w:jc w:val="center"/>
      </w:pPr>
      <w:r>
        <w:rPr>
          <w:rFonts w:ascii="Times New Roman" w:hAnsi="Times New Roman" w:cs="Times New Roman" w:eastAsia="Times New Roman"/>
          <w:b w:val="0"/>
          <w:sz w:val="24"/>
        </w:rPr>
      </w:r>
    </w:p>
    <w:p>
      <w:pPr>
        <w:spacing w:line="480" w:lineRule="auto"/>
        <w:ind w:firstLine="0"/>
        <w:jc w:val="center"/>
      </w:pPr>
      <w:r>
        <w:rPr>
          <w:rFonts w:ascii="Times New Roman" w:hAnsi="Times New Roman" w:cs="Times New Roman" w:eastAsia="Times New Roman"/>
          <w:b w:val="0"/>
          <w:sz w:val="24"/>
        </w:rPr>
        <w:t>[COMPLETAR: nombres de los integrantes]</w:t>
      </w:r>
    </w:p>
    <w:p>
      <w:pPr>
        <w:spacing w:line="480" w:lineRule="auto"/>
        <w:ind w:firstLine="0"/>
        <w:jc w:val="center"/>
      </w:pPr>
      <w:r>
        <w:rPr>
          <w:rFonts w:ascii="Times New Roman" w:hAnsi="Times New Roman" w:cs="Times New Roman" w:eastAsia="Times New Roman"/>
          <w:b w:val="0"/>
          <w:sz w:val="24"/>
        </w:rPr>
        <w:t>Facultad de Ingeniería, Universidad Pontificia Bolivariana</w:t>
      </w:r>
    </w:p>
    <w:p>
      <w:pPr>
        <w:spacing w:line="480" w:lineRule="auto"/>
        <w:ind w:firstLine="0"/>
        <w:jc w:val="center"/>
      </w:pPr>
      <w:r>
        <w:rPr>
          <w:rFonts w:ascii="Times New Roman" w:hAnsi="Times New Roman" w:cs="Times New Roman" w:eastAsia="Times New Roman"/>
          <w:b w:val="0"/>
          <w:sz w:val="24"/>
        </w:rPr>
        <w:t>Gestión de Proyectos: Formulación y Evaluación de Proyectos</w:t>
      </w:r>
    </w:p>
    <w:p>
      <w:pPr>
        <w:spacing w:line="480" w:lineRule="auto"/>
        <w:ind w:firstLine="0"/>
        <w:jc w:val="center"/>
      </w:pPr>
      <w:r>
        <w:rPr>
          <w:rFonts w:ascii="Times New Roman" w:hAnsi="Times New Roman" w:cs="Times New Roman" w:eastAsia="Times New Roman"/>
          <w:b w:val="0"/>
          <w:sz w:val="24"/>
        </w:rPr>
        <w:t>Tatiana Sánchez Viana</w:t>
      </w:r>
    </w:p>
    <w:p>
      <w:pPr>
        <w:spacing w:line="480" w:lineRule="auto"/>
        <w:ind w:firstLine="0"/>
        <w:jc w:val="center"/>
      </w:pPr>
      <w:r>
        <w:rPr>
          <w:rFonts w:ascii="Times New Roman" w:hAnsi="Times New Roman" w:cs="Times New Roman" w:eastAsia="Times New Roman"/>
          <w:b w:val="0"/>
          <w:sz w:val="24"/>
        </w:rPr>
        <w:t>10 de agosto de 2026</w:t>
      </w:r>
    </w:p>
    <w:p>
      <w:r>
        <w:br w:type="page"/>
      </w:r>
    </w:p>
    <w:p>
      <w:pPr>
        <w:pStyle w:val="Heading1"/>
      </w:pPr>
      <w:r>
        <w:t>1. Información general</w:t>
      </w:r>
    </w:p>
    <w:p>
      <w:pPr>
        <w:spacing w:before="240"/>
        <w:ind w:firstLine="0"/>
      </w:pPr>
      <w:r>
        <w:rPr>
          <w:rFonts w:ascii="Times New Roman" w:hAnsi="Times New Roman" w:cs="Times New Roman" w:eastAsia="Times New Roman"/>
          <w:b/>
          <w:sz w:val="24"/>
        </w:rPr>
        <w:t>Tabla 1</w:t>
      </w:r>
    </w:p>
    <w:p>
      <w:pPr>
        <w:ind w:firstLine="0"/>
      </w:pPr>
      <w:r>
        <w:rPr>
          <w:rFonts w:ascii="Times New Roman" w:hAnsi="Times New Roman" w:cs="Times New Roman" w:eastAsia="Times New Roman"/>
          <w:i/>
          <w:sz w:val="24"/>
        </w:rPr>
        <w:t>Ficha Técnica del Proyecto</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4680"/>
        <w:gridCol w:w="4680"/>
      </w:tblGrid>
      <w:tr>
        <w:tc>
          <w:tcPr>
            <w:tcW w:type="dxa" w:w="198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Campo</w:t>
            </w:r>
          </w:p>
        </w:tc>
        <w:tc>
          <w:tcPr>
            <w:tcW w:type="dxa" w:w="6803"/>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Contenido</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Título del proyecto</w:t>
            </w:r>
          </w:p>
        </w:tc>
        <w:tc>
          <w:tcPr>
            <w:tcW w:type="dxa" w:w="6803"/>
          </w:tcPr>
          <w:p>
            <w:pPr>
              <w:spacing w:line="240" w:lineRule="auto" w:after="60" w:before="60"/>
              <w:ind w:firstLine="0"/>
              <w:jc w:val="left"/>
            </w:pPr>
            <w:r/>
            <w:r>
              <w:rPr>
                <w:rFonts w:ascii="Times New Roman" w:hAnsi="Times New Roman" w:cs="Times New Roman" w:eastAsia="Times New Roman"/>
                <w:b w:val="0"/>
                <w:sz w:val="20"/>
              </w:rPr>
              <w:t>Alivia. Plataforma digital de gestión unificada de recordatorios para la vida adulta</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Integrantes y roles</w:t>
            </w:r>
          </w:p>
        </w:tc>
        <w:tc>
          <w:tcPr>
            <w:tcW w:type="dxa" w:w="6803"/>
          </w:tcPr>
          <w:p>
            <w:pPr>
              <w:spacing w:line="240" w:lineRule="auto" w:after="60" w:before="60"/>
              <w:ind w:firstLine="0"/>
              <w:jc w:val="left"/>
            </w:pPr>
            <w:r/>
            <w:r>
              <w:rPr>
                <w:rFonts w:ascii="Times New Roman" w:hAnsi="Times New Roman" w:cs="Times New Roman" w:eastAsia="Times New Roman"/>
                <w:b w:val="0"/>
                <w:sz w:val="20"/>
              </w:rPr>
              <w:t>[COMPLETAR] Director de proyecto: formulación, objetivos y cronograma. [COMPLETAR] Analista de mercado: estado del arte, PESTEL y competencia. [COMPLETAR] Líder técnico: ingeniería, proveedores y arquitectura. [COMPLETAR] Analista legal y financiero: estudio administrativo y riesgos.</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Sector económico</w:t>
            </w:r>
          </w:p>
        </w:tc>
        <w:tc>
          <w:tcPr>
            <w:tcW w:type="dxa" w:w="6803"/>
          </w:tcPr>
          <w:p>
            <w:pPr>
              <w:spacing w:line="240" w:lineRule="auto" w:after="60" w:before="60"/>
              <w:ind w:firstLine="0"/>
              <w:jc w:val="left"/>
            </w:pPr>
            <w:r/>
            <w:r>
              <w:rPr>
                <w:rFonts w:ascii="Times New Roman" w:hAnsi="Times New Roman" w:cs="Times New Roman" w:eastAsia="Times New Roman"/>
                <w:b w:val="0"/>
                <w:sz w:val="20"/>
              </w:rPr>
              <w:t>Terciario, servicios. Subsector de Tecnologías de la Información y las Comunicaciones. CIIU 6201 (desarrollo de sistemas informáticos) y 6311 (procesamiento de datos y alojamiento).</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Tipo de proyecto</w:t>
            </w:r>
          </w:p>
        </w:tc>
        <w:tc>
          <w:tcPr>
            <w:tcW w:type="dxa" w:w="6803"/>
          </w:tcPr>
          <w:p>
            <w:pPr>
              <w:spacing w:line="240" w:lineRule="auto" w:after="60" w:before="60"/>
              <w:ind w:firstLine="0"/>
              <w:jc w:val="left"/>
            </w:pPr>
            <w:r/>
            <w:r>
              <w:rPr>
                <w:rFonts w:ascii="Times New Roman" w:hAnsi="Times New Roman" w:cs="Times New Roman" w:eastAsia="Times New Roman"/>
                <w:b w:val="0"/>
                <w:sz w:val="20"/>
              </w:rPr>
              <w:t>Tecnológico, con componente social. Consiste en desarrollar un producto de software bajo modelo de servicio, orientado a reducir la carga mental y el incumplimiento de obligaciones en población adulta.</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Modelo de negocio</w:t>
            </w:r>
          </w:p>
        </w:tc>
        <w:tc>
          <w:tcPr>
            <w:tcW w:type="dxa" w:w="6803"/>
          </w:tcPr>
          <w:p>
            <w:pPr>
              <w:spacing w:line="240" w:lineRule="auto" w:after="60" w:before="60"/>
              <w:ind w:firstLine="0"/>
              <w:jc w:val="left"/>
            </w:pPr>
            <w:r/>
            <w:r>
              <w:rPr>
                <w:rFonts w:ascii="Times New Roman" w:hAnsi="Times New Roman" w:cs="Times New Roman" w:eastAsia="Times New Roman"/>
                <w:b w:val="0"/>
                <w:sz w:val="20"/>
              </w:rPr>
              <w:t>Freemium. Los módulos de hogar, vehículo y familia son gratuitos. Los de salud, finanzas, mascotas y general se pagan.</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Descripción breve</w:t>
            </w:r>
          </w:p>
        </w:tc>
        <w:tc>
          <w:tcPr>
            <w:tcW w:type="dxa" w:w="6803"/>
          </w:tcPr>
          <w:p>
            <w:pPr>
              <w:spacing w:line="240" w:lineRule="auto" w:after="60" w:before="60"/>
              <w:ind w:firstLine="0"/>
              <w:jc w:val="left"/>
            </w:pPr>
            <w:r/>
            <w:r>
              <w:rPr>
                <w:rFonts w:ascii="Times New Roman" w:hAnsi="Times New Roman" w:cs="Times New Roman" w:eastAsia="Times New Roman"/>
                <w:b w:val="0"/>
                <w:sz w:val="20"/>
              </w:rPr>
              <w:t>Alivia centraliza en una sola aplicación web y móvil los recordatorios de las siete áreas de responsabilidad de un adulto: hogar, vehículo, salud, finanzas, familia, mascotas y general. Los vencimientos recurrentes vienen precargados por plantilla (SOAT, tecnomecánica, impuesto predial, controles médicos, vacunas de mascotas) y la aplicación envía notificaciones automáticas ordenadas por urgencia. La diferencia con un gestor de tareas común es que el usuario no necesita saber qué debe recordar ni cada cuánto: la aplicación ya lo sabe.</w:t>
            </w:r>
          </w:p>
        </w:tc>
      </w:tr>
    </w:tbl>
    <w:p/>
    <w:p>
      <w:r>
        <w:br w:type="page"/>
      </w:r>
    </w:p>
    <w:p>
      <w:pPr>
        <w:pStyle w:val="Heading1"/>
      </w:pPr>
      <w:r>
        <w:t>2. Estado del arte</w:t>
      </w:r>
    </w:p>
    <w:p>
      <w:pPr>
        <w:pStyle w:val="Heading2"/>
      </w:pPr>
      <w:r>
        <w:t>2.1 Antecedentes</w:t>
      </w:r>
    </w:p>
    <w:p>
      <w:r>
        <w:t>La gestión personal de obligaciones pasó del papel a lo digital en tres olas. La primera fue la agenda de papel y el calendario de pared, que tenían dos límites evidentes: no avisan solos y no se comparten. La segunda arrancó a finales de los noventa y llevó la agenda al dispositivo, primero a las PDA y luego al calendario del correo. Ganó la alarma, pero conservó el trabajo de escribirlo todo a mano. La tercera empezó en 2007 con el teléfono inteligente y produjo la categoría de aplicaciones de tareas, como Remember the Milk, Wunderlist, Todoist y Any.do, que añadieron sincronización en la nube, trabajo compartido y repetición automática.</w:t>
      </w:r>
    </w:p>
    <w:p>
      <w:r>
        <w:t>Las tres olas arrastran el mismo supuesto sin resolver: el sistema llega vacío y el usuario tiene que llenarlo. Ninguna de esas aplicaciones sabe que en Colombia el SOAT se renueva cada año, que la revisión tecnomecánica se exige desde el segundo año en vehículos particulares, o que un perro necesita refuerzo antirrábico anual. Ese hueco entre la herramienta genérica y la obligación concreta del adulto colombiano es donde se ubica este proyecto.</w:t>
      </w:r>
    </w:p>
    <w:p>
      <w:pPr>
        <w:pStyle w:val="Heading3"/>
      </w:pPr>
      <w:r>
        <w:t>Línea de tiempo del sector</w:t>
      </w:r>
    </w:p>
    <w:p>
      <w:pPr>
        <w:spacing w:before="240"/>
        <w:ind w:firstLine="0"/>
      </w:pPr>
      <w:r>
        <w:rPr>
          <w:rFonts w:ascii="Times New Roman" w:hAnsi="Times New Roman" w:cs="Times New Roman" w:eastAsia="Times New Roman"/>
          <w:b/>
          <w:sz w:val="24"/>
        </w:rPr>
        <w:t>Tabla 2</w:t>
      </w:r>
    </w:p>
    <w:p>
      <w:pPr>
        <w:ind w:firstLine="0"/>
      </w:pPr>
      <w:r>
        <w:rPr>
          <w:rFonts w:ascii="Times New Roman" w:hAnsi="Times New Roman" w:cs="Times New Roman" w:eastAsia="Times New Roman"/>
          <w:i/>
          <w:sz w:val="24"/>
        </w:rPr>
        <w:t>Evolución de la Gestión Personal de Obligaciones, 1998 a 2026</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4680"/>
        <w:gridCol w:w="4680"/>
      </w:tblGrid>
      <w:tr>
        <w:tc>
          <w:tcPr>
            <w:tcW w:type="dxa" w:w="170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Periodo</w:t>
            </w:r>
          </w:p>
        </w:tc>
        <w:tc>
          <w:tcPr>
            <w:tcW w:type="dxa" w:w="708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Qué ocurrió</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1998 a 2006</w:t>
            </w:r>
          </w:p>
        </w:tc>
        <w:tc>
          <w:tcPr>
            <w:tcW w:type="dxa" w:w="7087"/>
          </w:tcPr>
          <w:p>
            <w:pPr>
              <w:spacing w:line="240" w:lineRule="auto" w:after="60" w:before="60"/>
              <w:ind w:firstLine="0"/>
              <w:jc w:val="left"/>
            </w:pPr>
            <w:r/>
            <w:r>
              <w:rPr>
                <w:rFonts w:ascii="Times New Roman" w:hAnsi="Times New Roman" w:cs="Times New Roman" w:eastAsia="Times New Roman"/>
                <w:b w:val="0"/>
                <w:sz w:val="20"/>
              </w:rPr>
              <w:t>Agenda digital personal en PDA y Outlook. Aparece la alarma, pero la carga sigue siendo escribir todo a mano.</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2007 a 2012</w:t>
            </w:r>
          </w:p>
        </w:tc>
        <w:tc>
          <w:tcPr>
            <w:tcW w:type="dxa" w:w="7087"/>
          </w:tcPr>
          <w:p>
            <w:pPr>
              <w:spacing w:line="240" w:lineRule="auto" w:after="60" w:before="60"/>
              <w:ind w:firstLine="0"/>
              <w:jc w:val="left"/>
            </w:pPr>
            <w:r/>
            <w:r>
              <w:rPr>
                <w:rFonts w:ascii="Times New Roman" w:hAnsi="Times New Roman" w:cs="Times New Roman" w:eastAsia="Times New Roman"/>
                <w:b w:val="0"/>
                <w:sz w:val="20"/>
              </w:rPr>
              <w:t>Se masifica el teléfono inteligente y nace la categoría de aplicaciones de tareas con sincronización en la nube.</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2013 a 2019</w:t>
            </w:r>
          </w:p>
        </w:tc>
        <w:tc>
          <w:tcPr>
            <w:tcW w:type="dxa" w:w="7087"/>
          </w:tcPr>
          <w:p>
            <w:pPr>
              <w:spacing w:line="240" w:lineRule="auto" w:after="60" w:before="60"/>
              <w:ind w:firstLine="0"/>
              <w:jc w:val="left"/>
            </w:pPr>
            <w:r/>
            <w:r>
              <w:rPr>
                <w:rFonts w:ascii="Times New Roman" w:hAnsi="Times New Roman" w:cs="Times New Roman" w:eastAsia="Times New Roman"/>
                <w:b w:val="0"/>
                <w:sz w:val="20"/>
              </w:rPr>
              <w:t>Se consolidan Todoist, Any.do y TickTick. Llegan la repetición automática, las etiquetas y el trabajo compartido. El modelo freemium se vuelve el estándar del sector.</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2020 a 2022</w:t>
            </w:r>
          </w:p>
        </w:tc>
        <w:tc>
          <w:tcPr>
            <w:tcW w:type="dxa" w:w="7087"/>
          </w:tcPr>
          <w:p>
            <w:pPr>
              <w:spacing w:line="240" w:lineRule="auto" w:after="60" w:before="60"/>
              <w:ind w:firstLine="0"/>
              <w:jc w:val="left"/>
            </w:pPr>
            <w:r/>
            <w:r>
              <w:rPr>
                <w:rFonts w:ascii="Times New Roman" w:hAnsi="Times New Roman" w:cs="Times New Roman" w:eastAsia="Times New Roman"/>
                <w:b w:val="0"/>
                <w:sz w:val="20"/>
              </w:rPr>
              <w:t>La pandemia acelera la digitalización de trámites y el trabajo remoto. Sube el uso de aplicaciones de productividad y se borra el límite entre agenda laboral y personal.</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2023 a 2026</w:t>
            </w:r>
          </w:p>
        </w:tc>
        <w:tc>
          <w:tcPr>
            <w:tcW w:type="dxa" w:w="7087"/>
          </w:tcPr>
          <w:p>
            <w:pPr>
              <w:spacing w:line="240" w:lineRule="auto" w:after="60" w:before="60"/>
              <w:ind w:firstLine="0"/>
              <w:jc w:val="left"/>
            </w:pPr>
            <w:r/>
            <w:r>
              <w:rPr>
                <w:rFonts w:ascii="Times New Roman" w:hAnsi="Times New Roman" w:cs="Times New Roman" w:eastAsia="Times New Roman"/>
                <w:b w:val="0"/>
                <w:sz w:val="20"/>
              </w:rPr>
              <w:t>Se integran asistentes con inteligencia artificial para ordenar tareas por urgencia y capturarlas en lenguaje corriente. La regulación sobre datos personales y sobre el contacto no consentido se endurece. En Colombia entra en vigor la Ley 2300 de 2023.</w:t>
            </w:r>
          </w:p>
        </w:tc>
      </w:tr>
    </w:tbl>
    <w:p/>
    <w:p>
      <w:pPr>
        <w:pStyle w:val="Heading2"/>
      </w:pPr>
      <w:r>
        <w:t>2.2 Tendencias del sector</w:t>
      </w:r>
    </w:p>
    <w:p>
      <w:r>
        <w:t>El mercado mundial de aplicaciones de productividad se valoró en USD 13.150 millones en 2025 y se proyecta en USD 30.850 millones para 2034, con un crecimiento anual compuesto del 9,94% (Fortune Business Insights, 2025). El segmento más cercano a este proyecto, el software de gestión de tareas, es más pequeño pero se mueve más rápido: USD 3.940 millones en 2025 con proyección a USD 12.340 millones en 2033 y un crecimiento anual del 15,6% (Grand View Research, 2026). La diferencia entre las dos tasas dice algo útil. El nicho de gestión de tareas crece a casi el doble del ritmo de la categoría que lo contiene, señal de que la demanda se está moviendo desde las suites de oficina hacia herramientas especializadas.</w:t>
      </w:r>
    </w:p>
    <w:p>
      <w:r>
        <w:t>En la oferta actual mandan tres tendencias: la inteligencia artificial para ordenar tareas y capturarlas en lenguaje corriente, la fusión del calendario y la lista de pendientes en una sola vista, y el paso del cobro por licencia a la suscripción con una capa gratuita que sirve de anzuelo.</w:t>
      </w:r>
    </w:p>
    <w:p>
      <w:pPr>
        <w:pStyle w:val="Heading2"/>
      </w:pPr>
      <w:r>
        <w:t>2.3 Situación actual del mercado colombiano</w:t>
      </w:r>
    </w:p>
    <w:p>
      <w:r>
        <w:t>Sin conectividad no hay proyecto, y en Colombia esa condición se cumple, aunque no para todos. La Encuesta de Calidad de Vida 2025 encontró que el 73,9% de los hogares colombianos tenía acceso a internet (DANE, 2025), y el MinTIC reporta cerca de 49,75 millones de accesos a internet móvil (MinTIC, 2025). Esas dos cifras dicen dos cosas a la vez. Hay un mercado amplio y sobre todo móvil. Pero uno de cada cuatro hogares sigue sin acceso fijo, lo que obliga a diseñar para conectividad intermitente y bajo consumo de datos, y desaconseja cualquier función que dependa de estar siempre conectado.</w:t>
      </w:r>
    </w:p>
    <w:p>
      <w:r>
        <w:t>Del lado del problema, la Encuesta Nacional de Salud Mental 2025 del Ministerio de Salud, aplicada a más de 120.000 personas en los 32 departamentos, encontró una prevalencia de trastornos mentales a lo largo de la vida en adultos del 8,4%, con 5,7% en hombres y 10,8% en mujeres. La depresión del último mes casi se triplicó y la ansiedad generalizada se cuadruplicó frente a la medición de 2015 (Minsalud, 2025). La misma encuesta señala que en adultos la principal fuente de estrés agudo es la falta de estabilidad económica, por encima de la presión laboral o los problemas de pareja. En el trabajo, un estudio de Seguros Sura calculó que cerca del 34% de los trabajadores se ausenta por condiciones de salud mental (Seguros Sura, 2025).</w:t>
      </w:r>
    </w:p>
    <w:p>
      <w:pPr>
        <w:pStyle w:val="Heading2"/>
      </w:pPr>
      <w:r>
        <w:t>2.4 Innovaciones relevantes</w:t>
      </w:r>
    </w:p>
    <w:p>
      <w:pPr>
        <w:spacing w:before="240"/>
        <w:ind w:firstLine="0"/>
      </w:pPr>
      <w:r>
        <w:rPr>
          <w:rFonts w:ascii="Times New Roman" w:hAnsi="Times New Roman" w:cs="Times New Roman" w:eastAsia="Times New Roman"/>
          <w:b/>
          <w:sz w:val="24"/>
        </w:rPr>
        <w:t>Tabla 3</w:t>
      </w:r>
    </w:p>
    <w:p>
      <w:pPr>
        <w:ind w:firstLine="0"/>
      </w:pPr>
      <w:r>
        <w:rPr>
          <w:rFonts w:ascii="Times New Roman" w:hAnsi="Times New Roman" w:cs="Times New Roman" w:eastAsia="Times New Roman"/>
          <w:i/>
          <w:sz w:val="24"/>
        </w:rPr>
        <w:t>Innovaciones del Sector y su Relevancia para el Proyecto</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2340"/>
        <w:gridCol w:w="2340"/>
        <w:gridCol w:w="2340"/>
        <w:gridCol w:w="2340"/>
      </w:tblGrid>
      <w:tr>
        <w:tc>
          <w:tcPr>
            <w:tcW w:type="dxa" w:w="181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Innovación</w:t>
            </w:r>
          </w:p>
        </w:tc>
        <w:tc>
          <w:tcPr>
            <w:tcW w:type="dxa" w:w="260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En qué consiste</w:t>
            </w:r>
          </w:p>
        </w:tc>
        <w:tc>
          <w:tcPr>
            <w:tcW w:type="dxa" w:w="181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Estado en el mercado</w:t>
            </w:r>
          </w:p>
        </w:tc>
        <w:tc>
          <w:tcPr>
            <w:tcW w:type="dxa" w:w="255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Relevancia para Alivia</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Captura en lenguaje corriente</w:t>
            </w:r>
          </w:p>
        </w:tc>
        <w:tc>
          <w:tcPr>
            <w:tcW w:type="dxa" w:w="2608"/>
          </w:tcPr>
          <w:p>
            <w:pPr>
              <w:spacing w:line="240" w:lineRule="auto" w:after="60" w:before="60"/>
              <w:ind w:firstLine="0"/>
              <w:jc w:val="left"/>
            </w:pPr>
            <w:r/>
            <w:r>
              <w:rPr>
                <w:rFonts w:ascii="Times New Roman" w:hAnsi="Times New Roman" w:cs="Times New Roman" w:eastAsia="Times New Roman"/>
                <w:b w:val="0"/>
                <w:sz w:val="20"/>
              </w:rPr>
              <w:t>Escribir «cambio de aceite en 6 meses» y que el sistema arme la tarea con su fecha</w:t>
            </w:r>
          </w:p>
        </w:tc>
        <w:tc>
          <w:tcPr>
            <w:tcW w:type="dxa" w:w="1814"/>
          </w:tcPr>
          <w:p>
            <w:pPr>
              <w:spacing w:line="240" w:lineRule="auto" w:after="60" w:before="60"/>
              <w:ind w:firstLine="0"/>
              <w:jc w:val="left"/>
            </w:pPr>
            <w:r/>
            <w:r>
              <w:rPr>
                <w:rFonts w:ascii="Times New Roman" w:hAnsi="Times New Roman" w:cs="Times New Roman" w:eastAsia="Times New Roman"/>
                <w:b w:val="0"/>
                <w:sz w:val="20"/>
              </w:rPr>
              <w:t>Consolidada en Todoist y TickTick</w:t>
            </w:r>
          </w:p>
        </w:tc>
        <w:tc>
          <w:tcPr>
            <w:tcW w:type="dxa" w:w="2551"/>
          </w:tcPr>
          <w:p>
            <w:pPr>
              <w:spacing w:line="240" w:lineRule="auto" w:after="60" w:before="60"/>
              <w:ind w:firstLine="0"/>
              <w:jc w:val="left"/>
            </w:pPr>
            <w:r/>
            <w:r>
              <w:rPr>
                <w:rFonts w:ascii="Times New Roman" w:hAnsi="Times New Roman" w:cs="Times New Roman" w:eastAsia="Times New Roman"/>
                <w:b w:val="0"/>
                <w:sz w:val="20"/>
              </w:rPr>
              <w:t>Media. Quita fricción, pero el usuario sigue teniendo que saber qué anotar.</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Orden de urgencia asistido por inteligencia artificial</w:t>
            </w:r>
          </w:p>
        </w:tc>
        <w:tc>
          <w:tcPr>
            <w:tcW w:type="dxa" w:w="2608"/>
          </w:tcPr>
          <w:p>
            <w:pPr>
              <w:spacing w:line="240" w:lineRule="auto" w:after="60" w:before="60"/>
              <w:ind w:firstLine="0"/>
              <w:jc w:val="left"/>
            </w:pPr>
            <w:r/>
            <w:r>
              <w:rPr>
                <w:rFonts w:ascii="Times New Roman" w:hAnsi="Times New Roman" w:cs="Times New Roman" w:eastAsia="Times New Roman"/>
                <w:b w:val="0"/>
                <w:sz w:val="20"/>
              </w:rPr>
              <w:t>La aplicación ordena sola las tareas según urgencia, consecuencia e historial</w:t>
            </w:r>
          </w:p>
        </w:tc>
        <w:tc>
          <w:tcPr>
            <w:tcW w:type="dxa" w:w="1814"/>
          </w:tcPr>
          <w:p>
            <w:pPr>
              <w:spacing w:line="240" w:lineRule="auto" w:after="60" w:before="60"/>
              <w:ind w:firstLine="0"/>
              <w:jc w:val="left"/>
            </w:pPr>
            <w:r/>
            <w:r>
              <w:rPr>
                <w:rFonts w:ascii="Times New Roman" w:hAnsi="Times New Roman" w:cs="Times New Roman" w:eastAsia="Times New Roman"/>
                <w:b w:val="0"/>
                <w:sz w:val="20"/>
              </w:rPr>
              <w:t>Emergente</w:t>
            </w:r>
          </w:p>
        </w:tc>
        <w:tc>
          <w:tcPr>
            <w:tcW w:type="dxa" w:w="2551"/>
          </w:tcPr>
          <w:p>
            <w:pPr>
              <w:spacing w:line="240" w:lineRule="auto" w:after="60" w:before="60"/>
              <w:ind w:firstLine="0"/>
              <w:jc w:val="left"/>
            </w:pPr>
            <w:r/>
            <w:r>
              <w:rPr>
                <w:rFonts w:ascii="Times New Roman" w:hAnsi="Times New Roman" w:cs="Times New Roman" w:eastAsia="Times New Roman"/>
                <w:b w:val="0"/>
                <w:sz w:val="20"/>
              </w:rPr>
              <w:t>Alta. Es el diferenciador que el proyecto declara.</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Plantillas de obligaciones por dominio</w:t>
            </w:r>
          </w:p>
        </w:tc>
        <w:tc>
          <w:tcPr>
            <w:tcW w:type="dxa" w:w="2608"/>
          </w:tcPr>
          <w:p>
            <w:pPr>
              <w:spacing w:line="240" w:lineRule="auto" w:after="60" w:before="60"/>
              <w:ind w:firstLine="0"/>
              <w:jc w:val="left"/>
            </w:pPr>
            <w:r/>
            <w:r>
              <w:rPr>
                <w:rFonts w:ascii="Times New Roman" w:hAnsi="Times New Roman" w:cs="Times New Roman" w:eastAsia="Times New Roman"/>
                <w:b w:val="0"/>
                <w:sz w:val="20"/>
              </w:rPr>
              <w:t>Catálogos precargados con los vencimientos típicos de cada área de la vida</w:t>
            </w:r>
          </w:p>
        </w:tc>
        <w:tc>
          <w:tcPr>
            <w:tcW w:type="dxa" w:w="1814"/>
          </w:tcPr>
          <w:p>
            <w:pPr>
              <w:spacing w:line="240" w:lineRule="auto" w:after="60" w:before="60"/>
              <w:ind w:firstLine="0"/>
              <w:jc w:val="left"/>
            </w:pPr>
            <w:r/>
            <w:r>
              <w:rPr>
                <w:rFonts w:ascii="Times New Roman" w:hAnsi="Times New Roman" w:cs="Times New Roman" w:eastAsia="Times New Roman"/>
                <w:b w:val="0"/>
                <w:sz w:val="20"/>
              </w:rPr>
              <w:t>Incipiente y fragmentada</w:t>
            </w:r>
          </w:p>
        </w:tc>
        <w:tc>
          <w:tcPr>
            <w:tcW w:type="dxa" w:w="2551"/>
          </w:tcPr>
          <w:p>
            <w:pPr>
              <w:spacing w:line="240" w:lineRule="auto" w:after="60" w:before="60"/>
              <w:ind w:firstLine="0"/>
              <w:jc w:val="left"/>
            </w:pPr>
            <w:r/>
            <w:r>
              <w:rPr>
                <w:rFonts w:ascii="Times New Roman" w:hAnsi="Times New Roman" w:cs="Times New Roman" w:eastAsia="Times New Roman"/>
                <w:b w:val="0"/>
                <w:sz w:val="20"/>
              </w:rPr>
              <w:t>Muy alta. Es el hueco competitivo real y el centro de la propuesta.</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Notificación por varios canales con control de frecuencia</w:t>
            </w:r>
          </w:p>
        </w:tc>
        <w:tc>
          <w:tcPr>
            <w:tcW w:type="dxa" w:w="2608"/>
          </w:tcPr>
          <w:p>
            <w:pPr>
              <w:spacing w:line="240" w:lineRule="auto" w:after="60" w:before="60"/>
              <w:ind w:firstLine="0"/>
              <w:jc w:val="left"/>
            </w:pPr>
            <w:r/>
            <w:r>
              <w:rPr>
                <w:rFonts w:ascii="Times New Roman" w:hAnsi="Times New Roman" w:cs="Times New Roman" w:eastAsia="Times New Roman"/>
                <w:b w:val="0"/>
                <w:sz w:val="20"/>
              </w:rPr>
              <w:t>Avisos por aplicación, correo y mensajería, con límites de contacto</w:t>
            </w:r>
          </w:p>
        </w:tc>
        <w:tc>
          <w:tcPr>
            <w:tcW w:type="dxa" w:w="1814"/>
          </w:tcPr>
          <w:p>
            <w:pPr>
              <w:spacing w:line="240" w:lineRule="auto" w:after="60" w:before="60"/>
              <w:ind w:firstLine="0"/>
              <w:jc w:val="left"/>
            </w:pPr>
            <w:r/>
            <w:r>
              <w:rPr>
                <w:rFonts w:ascii="Times New Roman" w:hAnsi="Times New Roman" w:cs="Times New Roman" w:eastAsia="Times New Roman"/>
                <w:b w:val="0"/>
                <w:sz w:val="20"/>
              </w:rPr>
              <w:t>Consolidada, con regulación endureciéndose</w:t>
            </w:r>
          </w:p>
        </w:tc>
        <w:tc>
          <w:tcPr>
            <w:tcW w:type="dxa" w:w="2551"/>
          </w:tcPr>
          <w:p>
            <w:pPr>
              <w:spacing w:line="240" w:lineRule="auto" w:after="60" w:before="60"/>
              <w:ind w:firstLine="0"/>
              <w:jc w:val="left"/>
            </w:pPr>
            <w:r/>
            <w:r>
              <w:rPr>
                <w:rFonts w:ascii="Times New Roman" w:hAnsi="Times New Roman" w:cs="Times New Roman" w:eastAsia="Times New Roman"/>
                <w:b w:val="0"/>
                <w:sz w:val="20"/>
              </w:rPr>
              <w:t>Alta. Obliga a diseñar conforme a la Ley 2300 de 2023.</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Backend como servicio</w:t>
            </w:r>
          </w:p>
        </w:tc>
        <w:tc>
          <w:tcPr>
            <w:tcW w:type="dxa" w:w="2608"/>
          </w:tcPr>
          <w:p>
            <w:pPr>
              <w:spacing w:line="240" w:lineRule="auto" w:after="60" w:before="60"/>
              <w:ind w:firstLine="0"/>
              <w:jc w:val="left"/>
            </w:pPr>
            <w:r/>
            <w:r>
              <w:rPr>
                <w:rFonts w:ascii="Times New Roman" w:hAnsi="Times New Roman" w:cs="Times New Roman" w:eastAsia="Times New Roman"/>
                <w:b w:val="0"/>
                <w:sz w:val="20"/>
              </w:rPr>
              <w:t>Infraestructura gestionada del tipo Supabase o Firebase</w:t>
            </w:r>
          </w:p>
        </w:tc>
        <w:tc>
          <w:tcPr>
            <w:tcW w:type="dxa" w:w="1814"/>
          </w:tcPr>
          <w:p>
            <w:pPr>
              <w:spacing w:line="240" w:lineRule="auto" w:after="60" w:before="60"/>
              <w:ind w:firstLine="0"/>
              <w:jc w:val="left"/>
            </w:pPr>
            <w:r/>
            <w:r>
              <w:rPr>
                <w:rFonts w:ascii="Times New Roman" w:hAnsi="Times New Roman" w:cs="Times New Roman" w:eastAsia="Times New Roman"/>
                <w:b w:val="0"/>
                <w:sz w:val="20"/>
              </w:rPr>
              <w:t>Consolidada</w:t>
            </w:r>
          </w:p>
        </w:tc>
        <w:tc>
          <w:tcPr>
            <w:tcW w:type="dxa" w:w="2551"/>
          </w:tcPr>
          <w:p>
            <w:pPr>
              <w:spacing w:line="240" w:lineRule="auto" w:after="60" w:before="60"/>
              <w:ind w:firstLine="0"/>
              <w:jc w:val="left"/>
            </w:pPr>
            <w:r/>
            <w:r>
              <w:rPr>
                <w:rFonts w:ascii="Times New Roman" w:hAnsi="Times New Roman" w:cs="Times New Roman" w:eastAsia="Times New Roman"/>
                <w:b w:val="0"/>
                <w:sz w:val="20"/>
              </w:rPr>
              <w:t>Alta. Baja la inversión inicial y acorta el tiempo de salida.</w:t>
            </w:r>
          </w:p>
        </w:tc>
      </w:tr>
    </w:tbl>
    <w:p/>
    <w:p>
      <w:pPr>
        <w:pStyle w:val="Heading2"/>
      </w:pPr>
      <w:r>
        <w:t>2.5 Normatividad aplicable</w:t>
      </w:r>
    </w:p>
    <w:p>
      <w:pPr>
        <w:spacing w:before="240"/>
        <w:ind w:firstLine="0"/>
      </w:pPr>
      <w:r>
        <w:rPr>
          <w:rFonts w:ascii="Times New Roman" w:hAnsi="Times New Roman" w:cs="Times New Roman" w:eastAsia="Times New Roman"/>
          <w:b/>
          <w:sz w:val="24"/>
        </w:rPr>
        <w:t>Tabla 4</w:t>
      </w:r>
    </w:p>
    <w:p>
      <w:pPr>
        <w:ind w:firstLine="0"/>
      </w:pPr>
      <w:r>
        <w:rPr>
          <w:rFonts w:ascii="Times New Roman" w:hAnsi="Times New Roman" w:cs="Times New Roman" w:eastAsia="Times New Roman"/>
          <w:i/>
          <w:sz w:val="24"/>
        </w:rPr>
        <w:t>Normatividad Colombiana Aplicable al Proyecto</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3120"/>
        <w:gridCol w:w="3120"/>
        <w:gridCol w:w="3120"/>
      </w:tblGrid>
      <w:tr>
        <w:tc>
          <w:tcPr>
            <w:tcW w:type="dxa" w:w="226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Norma</w:t>
            </w:r>
          </w:p>
        </w:tc>
        <w:tc>
          <w:tcPr>
            <w:tcW w:type="dxa" w:w="255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Objeto</w:t>
            </w:r>
          </w:p>
        </w:tc>
        <w:tc>
          <w:tcPr>
            <w:tcW w:type="dxa" w:w="3969"/>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Qué implica para el proyecto</w:t>
            </w:r>
          </w:p>
        </w:tc>
      </w:tr>
      <w:tr>
        <w:tc>
          <w:tcPr>
            <w:tcW w:type="dxa" w:w="2268"/>
          </w:tcPr>
          <w:p>
            <w:pPr>
              <w:spacing w:line="240" w:lineRule="auto" w:after="60" w:before="60"/>
              <w:ind w:firstLine="0"/>
              <w:jc w:val="left"/>
            </w:pPr>
            <w:r/>
            <w:r>
              <w:rPr>
                <w:rFonts w:ascii="Times New Roman" w:hAnsi="Times New Roman" w:cs="Times New Roman" w:eastAsia="Times New Roman"/>
                <w:b w:val="0"/>
                <w:sz w:val="20"/>
              </w:rPr>
              <w:t>Ley 1581 de 2012 y Decreto 1074 de 2015</w:t>
            </w:r>
          </w:p>
        </w:tc>
        <w:tc>
          <w:tcPr>
            <w:tcW w:type="dxa" w:w="2551"/>
          </w:tcPr>
          <w:p>
            <w:pPr>
              <w:spacing w:line="240" w:lineRule="auto" w:after="60" w:before="60"/>
              <w:ind w:firstLine="0"/>
              <w:jc w:val="left"/>
            </w:pPr>
            <w:r/>
            <w:r>
              <w:rPr>
                <w:rFonts w:ascii="Times New Roman" w:hAnsi="Times New Roman" w:cs="Times New Roman" w:eastAsia="Times New Roman"/>
                <w:b w:val="0"/>
                <w:sz w:val="20"/>
              </w:rPr>
              <w:t>Régimen general de protección de datos personales</w:t>
            </w:r>
          </w:p>
        </w:tc>
        <w:tc>
          <w:tcPr>
            <w:tcW w:type="dxa" w:w="3969"/>
          </w:tcPr>
          <w:p>
            <w:pPr>
              <w:spacing w:line="240" w:lineRule="auto" w:after="60" w:before="60"/>
              <w:ind w:firstLine="0"/>
              <w:jc w:val="left"/>
            </w:pPr>
            <w:r/>
            <w:r>
              <w:rPr>
                <w:rFonts w:ascii="Times New Roman" w:hAnsi="Times New Roman" w:cs="Times New Roman" w:eastAsia="Times New Roman"/>
                <w:b w:val="0"/>
                <w:sz w:val="20"/>
              </w:rPr>
              <w:t>Obliga a tener política de tratamiento, a pedir autorización previa e informada al titular y a registrar las bases de datos ante la SIC</w:t>
            </w:r>
          </w:p>
        </w:tc>
      </w:tr>
      <w:tr>
        <w:tc>
          <w:tcPr>
            <w:tcW w:type="dxa" w:w="2268"/>
          </w:tcPr>
          <w:p>
            <w:pPr>
              <w:spacing w:line="240" w:lineRule="auto" w:after="60" w:before="60"/>
              <w:ind w:firstLine="0"/>
              <w:jc w:val="left"/>
            </w:pPr>
            <w:r/>
            <w:r>
              <w:rPr>
                <w:rFonts w:ascii="Times New Roman" w:hAnsi="Times New Roman" w:cs="Times New Roman" w:eastAsia="Times New Roman"/>
                <w:b w:val="0"/>
                <w:sz w:val="20"/>
              </w:rPr>
              <w:t>Ley 1266 de 2008</w:t>
            </w:r>
          </w:p>
        </w:tc>
        <w:tc>
          <w:tcPr>
            <w:tcW w:type="dxa" w:w="2551"/>
          </w:tcPr>
          <w:p>
            <w:pPr>
              <w:spacing w:line="240" w:lineRule="auto" w:after="60" w:before="60"/>
              <w:ind w:firstLine="0"/>
              <w:jc w:val="left"/>
            </w:pPr>
            <w:r/>
            <w:r>
              <w:rPr>
                <w:rFonts w:ascii="Times New Roman" w:hAnsi="Times New Roman" w:cs="Times New Roman" w:eastAsia="Times New Roman"/>
                <w:b w:val="0"/>
                <w:sz w:val="20"/>
              </w:rPr>
              <w:t>Habeas data</w:t>
            </w:r>
          </w:p>
        </w:tc>
        <w:tc>
          <w:tcPr>
            <w:tcW w:type="dxa" w:w="3969"/>
          </w:tcPr>
          <w:p>
            <w:pPr>
              <w:spacing w:line="240" w:lineRule="auto" w:after="60" w:before="60"/>
              <w:ind w:firstLine="0"/>
              <w:jc w:val="left"/>
            </w:pPr>
            <w:r/>
            <w:r>
              <w:rPr>
                <w:rFonts w:ascii="Times New Roman" w:hAnsi="Times New Roman" w:cs="Times New Roman" w:eastAsia="Times New Roman"/>
                <w:b w:val="0"/>
                <w:sz w:val="20"/>
              </w:rPr>
              <w:t>Aplica a los datos del módulo de finanzas y limita su uso y circulación</w:t>
            </w:r>
          </w:p>
        </w:tc>
      </w:tr>
      <w:tr>
        <w:tc>
          <w:tcPr>
            <w:tcW w:type="dxa" w:w="2268"/>
          </w:tcPr>
          <w:p>
            <w:pPr>
              <w:spacing w:line="240" w:lineRule="auto" w:after="60" w:before="60"/>
              <w:ind w:firstLine="0"/>
              <w:jc w:val="left"/>
            </w:pPr>
            <w:r/>
            <w:r>
              <w:rPr>
                <w:rFonts w:ascii="Times New Roman" w:hAnsi="Times New Roman" w:cs="Times New Roman" w:eastAsia="Times New Roman"/>
                <w:b w:val="0"/>
                <w:sz w:val="20"/>
              </w:rPr>
              <w:t>Ley 1480 de 2011</w:t>
            </w:r>
          </w:p>
        </w:tc>
        <w:tc>
          <w:tcPr>
            <w:tcW w:type="dxa" w:w="2551"/>
          </w:tcPr>
          <w:p>
            <w:pPr>
              <w:spacing w:line="240" w:lineRule="auto" w:after="60" w:before="60"/>
              <w:ind w:firstLine="0"/>
              <w:jc w:val="left"/>
            </w:pPr>
            <w:r/>
            <w:r>
              <w:rPr>
                <w:rFonts w:ascii="Times New Roman" w:hAnsi="Times New Roman" w:cs="Times New Roman" w:eastAsia="Times New Roman"/>
                <w:b w:val="0"/>
                <w:sz w:val="20"/>
              </w:rPr>
              <w:t>Estatuto del Consumidor</w:t>
            </w:r>
          </w:p>
        </w:tc>
        <w:tc>
          <w:tcPr>
            <w:tcW w:type="dxa" w:w="3969"/>
          </w:tcPr>
          <w:p>
            <w:pPr>
              <w:spacing w:line="240" w:lineRule="auto" w:after="60" w:before="60"/>
              <w:ind w:firstLine="0"/>
              <w:jc w:val="left"/>
            </w:pPr>
            <w:r/>
            <w:r>
              <w:rPr>
                <w:rFonts w:ascii="Times New Roman" w:hAnsi="Times New Roman" w:cs="Times New Roman" w:eastAsia="Times New Roman"/>
                <w:b w:val="0"/>
                <w:sz w:val="20"/>
              </w:rPr>
              <w:t>Rige la información de precios, la reversión del pago y el derecho de retracto al vender suscripciones</w:t>
            </w:r>
          </w:p>
        </w:tc>
      </w:tr>
      <w:tr>
        <w:tc>
          <w:tcPr>
            <w:tcW w:type="dxa" w:w="2268"/>
          </w:tcPr>
          <w:p>
            <w:pPr>
              <w:spacing w:line="240" w:lineRule="auto" w:after="60" w:before="60"/>
              <w:ind w:firstLine="0"/>
              <w:jc w:val="left"/>
            </w:pPr>
            <w:r/>
            <w:r>
              <w:rPr>
                <w:rFonts w:ascii="Times New Roman" w:hAnsi="Times New Roman" w:cs="Times New Roman" w:eastAsia="Times New Roman"/>
                <w:b w:val="0"/>
                <w:sz w:val="20"/>
              </w:rPr>
              <w:t>Ley 527 de 1999</w:t>
            </w:r>
          </w:p>
        </w:tc>
        <w:tc>
          <w:tcPr>
            <w:tcW w:type="dxa" w:w="2551"/>
          </w:tcPr>
          <w:p>
            <w:pPr>
              <w:spacing w:line="240" w:lineRule="auto" w:after="60" w:before="60"/>
              <w:ind w:firstLine="0"/>
              <w:jc w:val="left"/>
            </w:pPr>
            <w:r/>
            <w:r>
              <w:rPr>
                <w:rFonts w:ascii="Times New Roman" w:hAnsi="Times New Roman" w:cs="Times New Roman" w:eastAsia="Times New Roman"/>
                <w:b w:val="0"/>
                <w:sz w:val="20"/>
              </w:rPr>
              <w:t>Comercio electrónico y mensajes de datos</w:t>
            </w:r>
          </w:p>
        </w:tc>
        <w:tc>
          <w:tcPr>
            <w:tcW w:type="dxa" w:w="3969"/>
          </w:tcPr>
          <w:p>
            <w:pPr>
              <w:spacing w:line="240" w:lineRule="auto" w:after="60" w:before="60"/>
              <w:ind w:firstLine="0"/>
              <w:jc w:val="left"/>
            </w:pPr>
            <w:r/>
            <w:r>
              <w:rPr>
                <w:rFonts w:ascii="Times New Roman" w:hAnsi="Times New Roman" w:cs="Times New Roman" w:eastAsia="Times New Roman"/>
                <w:b w:val="0"/>
                <w:sz w:val="20"/>
              </w:rPr>
              <w:t>Da validez jurídica a contratar la suscripción en línea</w:t>
            </w:r>
          </w:p>
        </w:tc>
      </w:tr>
      <w:tr>
        <w:tc>
          <w:tcPr>
            <w:tcW w:type="dxa" w:w="2268"/>
          </w:tcPr>
          <w:p>
            <w:pPr>
              <w:spacing w:line="240" w:lineRule="auto" w:after="60" w:before="60"/>
              <w:ind w:firstLine="0"/>
              <w:jc w:val="left"/>
            </w:pPr>
            <w:r/>
            <w:r>
              <w:rPr>
                <w:rFonts w:ascii="Times New Roman" w:hAnsi="Times New Roman" w:cs="Times New Roman" w:eastAsia="Times New Roman"/>
                <w:b w:val="0"/>
                <w:sz w:val="20"/>
              </w:rPr>
              <w:t>Ley 2300 de 2023</w:t>
            </w:r>
          </w:p>
        </w:tc>
        <w:tc>
          <w:tcPr>
            <w:tcW w:type="dxa" w:w="2551"/>
          </w:tcPr>
          <w:p>
            <w:pPr>
              <w:spacing w:line="240" w:lineRule="auto" w:after="60" w:before="60"/>
              <w:ind w:firstLine="0"/>
              <w:jc w:val="left"/>
            </w:pPr>
            <w:r/>
            <w:r>
              <w:rPr>
                <w:rFonts w:ascii="Times New Roman" w:hAnsi="Times New Roman" w:cs="Times New Roman" w:eastAsia="Times New Roman"/>
                <w:b w:val="0"/>
                <w:sz w:val="20"/>
              </w:rPr>
              <w:t>Protección frente al contacto no consentido</w:t>
            </w:r>
          </w:p>
        </w:tc>
        <w:tc>
          <w:tcPr>
            <w:tcW w:type="dxa" w:w="3969"/>
          </w:tcPr>
          <w:p>
            <w:pPr>
              <w:spacing w:line="240" w:lineRule="auto" w:after="60" w:before="60"/>
              <w:ind w:firstLine="0"/>
              <w:jc w:val="left"/>
            </w:pPr>
            <w:r/>
            <w:r>
              <w:rPr>
                <w:rFonts w:ascii="Times New Roman" w:hAnsi="Times New Roman" w:cs="Times New Roman" w:eastAsia="Times New Roman"/>
                <w:b w:val="0"/>
                <w:sz w:val="20"/>
              </w:rPr>
              <w:t>Restringe horarios y frecuencia de contacto. El módulo de notificaciones tiene que ser configurable por el usuario</w:t>
            </w:r>
          </w:p>
        </w:tc>
      </w:tr>
      <w:tr>
        <w:tc>
          <w:tcPr>
            <w:tcW w:type="dxa" w:w="2268"/>
          </w:tcPr>
          <w:p>
            <w:pPr>
              <w:spacing w:line="240" w:lineRule="auto" w:after="60" w:before="60"/>
              <w:ind w:firstLine="0"/>
              <w:jc w:val="left"/>
            </w:pPr>
            <w:r/>
            <w:r>
              <w:rPr>
                <w:rFonts w:ascii="Times New Roman" w:hAnsi="Times New Roman" w:cs="Times New Roman" w:eastAsia="Times New Roman"/>
                <w:b w:val="0"/>
                <w:sz w:val="20"/>
              </w:rPr>
              <w:t>Ley 1258 de 2008</w:t>
            </w:r>
          </w:p>
        </w:tc>
        <w:tc>
          <w:tcPr>
            <w:tcW w:type="dxa" w:w="2551"/>
          </w:tcPr>
          <w:p>
            <w:pPr>
              <w:spacing w:line="240" w:lineRule="auto" w:after="60" w:before="60"/>
              <w:ind w:firstLine="0"/>
              <w:jc w:val="left"/>
            </w:pPr>
            <w:r/>
            <w:r>
              <w:rPr>
                <w:rFonts w:ascii="Times New Roman" w:hAnsi="Times New Roman" w:cs="Times New Roman" w:eastAsia="Times New Roman"/>
                <w:b w:val="0"/>
                <w:sz w:val="20"/>
              </w:rPr>
              <w:t>Sociedad por Acciones Simplificada</w:t>
            </w:r>
          </w:p>
        </w:tc>
        <w:tc>
          <w:tcPr>
            <w:tcW w:type="dxa" w:w="3969"/>
          </w:tcPr>
          <w:p>
            <w:pPr>
              <w:spacing w:line="240" w:lineRule="auto" w:after="60" w:before="60"/>
              <w:ind w:firstLine="0"/>
              <w:jc w:val="left"/>
            </w:pPr>
            <w:r/>
            <w:r>
              <w:rPr>
                <w:rFonts w:ascii="Times New Roman" w:hAnsi="Times New Roman" w:cs="Times New Roman" w:eastAsia="Times New Roman"/>
                <w:b w:val="0"/>
                <w:sz w:val="20"/>
              </w:rPr>
              <w:t>Define la figura societaria propuesta para formalizar el proyecto (sección 9)</w:t>
            </w:r>
          </w:p>
        </w:tc>
      </w:tr>
      <w:tr>
        <w:tc>
          <w:tcPr>
            <w:tcW w:type="dxa" w:w="2268"/>
          </w:tcPr>
          <w:p>
            <w:pPr>
              <w:spacing w:line="240" w:lineRule="auto" w:after="60" w:before="60"/>
              <w:ind w:firstLine="0"/>
              <w:jc w:val="left"/>
            </w:pPr>
            <w:r/>
            <w:r>
              <w:rPr>
                <w:rFonts w:ascii="Times New Roman" w:hAnsi="Times New Roman" w:cs="Times New Roman" w:eastAsia="Times New Roman"/>
                <w:b w:val="0"/>
                <w:sz w:val="20"/>
              </w:rPr>
              <w:t>Artículos 5 y 6 de la Ley 1581 de 2012</w:t>
            </w:r>
          </w:p>
        </w:tc>
        <w:tc>
          <w:tcPr>
            <w:tcW w:type="dxa" w:w="2551"/>
          </w:tcPr>
          <w:p>
            <w:pPr>
              <w:spacing w:line="240" w:lineRule="auto" w:after="60" w:before="60"/>
              <w:ind w:firstLine="0"/>
              <w:jc w:val="left"/>
            </w:pPr>
            <w:r/>
            <w:r>
              <w:rPr>
                <w:rFonts w:ascii="Times New Roman" w:hAnsi="Times New Roman" w:cs="Times New Roman" w:eastAsia="Times New Roman"/>
                <w:b w:val="0"/>
                <w:sz w:val="20"/>
              </w:rPr>
              <w:t>Datos sensibles</w:t>
            </w:r>
          </w:p>
        </w:tc>
        <w:tc>
          <w:tcPr>
            <w:tcW w:type="dxa" w:w="3969"/>
          </w:tcPr>
          <w:p>
            <w:pPr>
              <w:spacing w:line="240" w:lineRule="auto" w:after="60" w:before="60"/>
              <w:ind w:firstLine="0"/>
              <w:jc w:val="left"/>
            </w:pPr>
            <w:r/>
            <w:r>
              <w:rPr>
                <w:rFonts w:ascii="Times New Roman" w:hAnsi="Times New Roman" w:cs="Times New Roman" w:eastAsia="Times New Roman"/>
                <w:b w:val="0"/>
                <w:sz w:val="20"/>
              </w:rPr>
              <w:t>El módulo de salud maneja datos de categoría especial, que exigen autorización explícita y seguridad reforzada</w:t>
            </w:r>
          </w:p>
        </w:tc>
      </w:tr>
    </w:tbl>
    <w:p/>
    <w:p>
      <w:pPr>
        <w:pStyle w:val="Heading2"/>
      </w:pPr>
      <w:r>
        <w:t>2.6 Qué implica todo esto para el proyecto</w:t>
      </w:r>
    </w:p>
    <w:p>
      <w:r>
        <w:t>De la investigación salen tres conclusiones que condicionan el diseño. La primera tiene que ver con dónde competir: el mercado es grande y crece, pero está ocupado por competidores consolidados y con dinero. Entrar peleando por «gestión de tareas» sería jugar en la cancha del rival. La entrada que sí se puede defender es más estrecha y consiste en las obligaciones recurrentes propias del adulto colombiano, donde las plantillas precargadas funcionan como barrera, porque exigen conocer el contexto local y un competidor global no lo replica sin proponérselo.</w:t>
      </w:r>
    </w:p>
    <w:p>
      <w:r>
        <w:t>La segunda conclusión matiza el discurso del bienestar. Las cifras de salud mental confirman que el problema existe y va en aumento, pero también muestran que la principal fuente de estrés adulto es económica. Eso obliga a que la justificación del proyecto se apoye en el costo monetario del olvido, es decir en multas, recargos e intereses, y no solo en la tranquilidad. También explica por qué el precio termina siendo una variable delicada.</w:t>
      </w:r>
    </w:p>
    <w:p>
      <w:r>
        <w:t>La tercera es que el marco normativo de datos personales no es un trámite para el final, sino un requisito de diseño, sobre todo por el módulo de salud, que maneja datos de categoría especial.</w:t>
      </w:r>
    </w:p>
    <w:p>
      <w:r>
        <w:br w:type="page"/>
      </w:r>
    </w:p>
    <w:p>
      <w:pPr>
        <w:pStyle w:val="Heading1"/>
      </w:pPr>
      <w:r>
        <w:t>3. Definición del problema y justificación</w:t>
      </w:r>
    </w:p>
    <w:p>
      <w:pPr>
        <w:pStyle w:val="Heading2"/>
      </w:pPr>
      <w:r>
        <w:t>3.1 Árbol de problemas</w:t>
      </w:r>
    </w:p>
    <w:p>
      <w:r>
        <w:t>El diagrama se lee de abajo hacia arriba: las causas abajo, el problema central en el medio y los efectos arriba. La versión gráfica ampliada, junto con el árbol de objetivos, está en el documento anexo arbol.html.</w:t>
      </w:r>
    </w:p>
    <w:p>
      <w:pPr>
        <w:spacing w:before="240"/>
        <w:ind w:firstLine="0"/>
      </w:pPr>
      <w:r>
        <w:rPr>
          <w:rFonts w:ascii="Times New Roman" w:hAnsi="Times New Roman" w:cs="Times New Roman" w:eastAsia="Times New Roman"/>
          <w:b/>
          <w:sz w:val="24"/>
        </w:rPr>
        <w:t>Tabla 5</w:t>
      </w:r>
    </w:p>
    <w:p>
      <w:pPr>
        <w:ind w:firstLine="0"/>
      </w:pPr>
      <w:r>
        <w:rPr>
          <w:rFonts w:ascii="Times New Roman" w:hAnsi="Times New Roman" w:cs="Times New Roman" w:eastAsia="Times New Roman"/>
          <w:i/>
          <w:sz w:val="24"/>
        </w:rPr>
        <w:t>Árbol de Problemas: Causas, Problema Central y Efectos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4680"/>
        <w:gridCol w:w="4680"/>
      </w:tblGrid>
      <w:tr>
        <w:tc>
          <w:tcPr>
            <w:tcW w:type="dxa" w:w="198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Nivel</w:t>
            </w:r>
          </w:p>
        </w:tc>
        <w:tc>
          <w:tcPr>
            <w:tcW w:type="dxa" w:w="6803"/>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Contenido</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Efectos indirectos</w:t>
            </w:r>
          </w:p>
        </w:tc>
        <w:tc>
          <w:tcPr>
            <w:tcW w:type="dxa" w:w="6803"/>
          </w:tcPr>
          <w:p>
            <w:pPr>
              <w:spacing w:line="240" w:lineRule="auto" w:after="60" w:before="60"/>
              <w:ind w:firstLine="0"/>
              <w:jc w:val="left"/>
            </w:pPr>
            <w:r/>
            <w:r>
              <w:rPr>
                <w:rFonts w:ascii="Times New Roman" w:hAnsi="Times New Roman" w:cs="Times New Roman" w:eastAsia="Times New Roman"/>
                <w:b w:val="0"/>
                <w:sz w:val="20"/>
              </w:rPr>
              <w:t>Pérdidas económicas por multas, recargos e intereses. Conflictos personales, familiares y laborales. Deterioro de la salud por estrés crónico y ansiedad.</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Efectos directos</w:t>
            </w:r>
          </w:p>
        </w:tc>
        <w:tc>
          <w:tcPr>
            <w:tcW w:type="dxa" w:w="6803"/>
          </w:tcPr>
          <w:p>
            <w:pPr>
              <w:spacing w:line="240" w:lineRule="auto" w:after="60" w:before="60"/>
              <w:ind w:firstLine="0"/>
              <w:jc w:val="left"/>
            </w:pPr>
            <w:r/>
            <w:r>
              <w:rPr>
                <w:rFonts w:ascii="Times New Roman" w:hAnsi="Times New Roman" w:cs="Times New Roman" w:eastAsia="Times New Roman"/>
                <w:b w:val="0"/>
                <w:sz w:val="20"/>
              </w:rPr>
              <w:t>Incumplimiento de obligaciones financieras y legales. Desorganización de la rutina diaria. Pérdida de oportunidades y beneficios.</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PROBLEMA CENTRAL</w:t>
            </w:r>
          </w:p>
        </w:tc>
        <w:tc>
          <w:tcPr>
            <w:tcW w:type="dxa" w:w="6803"/>
          </w:tcPr>
          <w:p>
            <w:pPr>
              <w:spacing w:line="240" w:lineRule="auto" w:after="60" w:before="60"/>
              <w:ind w:firstLine="0"/>
              <w:jc w:val="left"/>
            </w:pPr>
            <w:r/>
            <w:r>
              <w:rPr>
                <w:rFonts w:ascii="Times New Roman" w:hAnsi="Times New Roman" w:cs="Times New Roman" w:eastAsia="Times New Roman"/>
                <w:b w:val="0"/>
                <w:sz w:val="20"/>
              </w:rPr>
              <w:t>Los adultos entre 25 y 55 años olvidan con frecuencia tareas y responsabilidades de la vida cotidiana.</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Causas directas</w:t>
            </w:r>
          </w:p>
        </w:tc>
        <w:tc>
          <w:tcPr>
            <w:tcW w:type="dxa" w:w="6803"/>
          </w:tcPr>
          <w:p>
            <w:pPr>
              <w:spacing w:line="240" w:lineRule="auto" w:after="60" w:before="60"/>
              <w:ind w:firstLine="0"/>
              <w:jc w:val="left"/>
            </w:pPr>
            <w:r/>
            <w:r>
              <w:rPr>
                <w:rFonts w:ascii="Times New Roman" w:hAnsi="Times New Roman" w:cs="Times New Roman" w:eastAsia="Times New Roman"/>
                <w:b w:val="0"/>
                <w:sz w:val="20"/>
              </w:rPr>
              <w:t>Sobrecarga mental y estrés cotidiano. Ausencia de un sistema unificado de recordatorios. Multiplicidad de responsabilidades simultáneas.</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Causas raíz</w:t>
            </w:r>
          </w:p>
        </w:tc>
        <w:tc>
          <w:tcPr>
            <w:tcW w:type="dxa" w:w="6803"/>
          </w:tcPr>
          <w:p>
            <w:pPr>
              <w:spacing w:line="240" w:lineRule="auto" w:after="60" w:before="60"/>
              <w:ind w:firstLine="0"/>
              <w:jc w:val="left"/>
            </w:pPr>
            <w:r/>
            <w:r>
              <w:rPr>
                <w:rFonts w:ascii="Times New Roman" w:hAnsi="Times New Roman" w:cs="Times New Roman" w:eastAsia="Times New Roman"/>
                <w:b w:val="0"/>
                <w:sz w:val="20"/>
              </w:rPr>
              <w:t>Notas sueltas y aplicaciones dispersas. Dificultad para decidir qué va primero. Dependencia de la memoria. Aplicaciones no adaptadas al contexto local. Diversidad de áreas de vida por gestionar. Ausencia de recordatorios automáticos por dominio.</w:t>
            </w:r>
          </w:p>
        </w:tc>
      </w:tr>
    </w:tbl>
    <w:p/>
    <w:p>
      <w:pPr>
        <w:pStyle w:val="Heading3"/>
      </w:pPr>
      <w:r>
        <w:t>Sustento de las causas y los efectos</w:t>
      </w:r>
    </w:p>
    <w:p>
      <w:r>
        <w:t>El efecto de las pérdidas económicas no es una suposición. En 2026 el comparendo por transitar sin SOAT equivale a 30 salarios mínimos diarios, alrededor de $1.750.890, y el de revisión técnico-mecánica a 15 salarios mínimos diarios, cerca de $875.460, calculados sobre un salario mínimo mensual de $1.750.905 (La FM, 2026; Ley 769 de 2002). Un solo olvido de renovación puede costar el equivalente a un salario mínimo mensual completo.</w:t>
      </w:r>
    </w:p>
    <w:p>
      <w:r>
        <w:t>El efecto sobre la salud se apoya en el aumento de ansiedad y depresión que reporta la Encuesta Nacional de Salud Mental 2025 (Minsalud, 2025). Y la causa relacionada con la memoria se conecta con otro hallazgo de esa misma encuesta: si la inestabilidad económica es la primera fuente de estrés agudo en adultos, entonces sostener obligaciones en la cabeza compite por una atención que ya está comprometida.</w:t>
      </w:r>
    </w:p>
    <w:p>
      <w:pPr>
        <w:pStyle w:val="Heading2"/>
      </w:pPr>
      <w:r>
        <w:t>3.2 Árbol de objetivos, medios y fines</w:t>
      </w:r>
    </w:p>
    <w:p>
      <w:r>
        <w:t>Es el diagrama espejo del anterior. Cada causa se convierte en un medio y cada efecto en un fin.</w:t>
      </w:r>
    </w:p>
    <w:p>
      <w:pPr>
        <w:spacing w:before="240"/>
        <w:ind w:firstLine="0"/>
      </w:pPr>
      <w:r>
        <w:rPr>
          <w:rFonts w:ascii="Times New Roman" w:hAnsi="Times New Roman" w:cs="Times New Roman" w:eastAsia="Times New Roman"/>
          <w:b/>
          <w:sz w:val="24"/>
        </w:rPr>
        <w:t>Tabla 6</w:t>
      </w:r>
    </w:p>
    <w:p>
      <w:pPr>
        <w:ind w:firstLine="0"/>
      </w:pPr>
      <w:r>
        <w:rPr>
          <w:rFonts w:ascii="Times New Roman" w:hAnsi="Times New Roman" w:cs="Times New Roman" w:eastAsia="Times New Roman"/>
          <w:i/>
          <w:sz w:val="24"/>
        </w:rPr>
        <w:t>Árbol de Objetivos: Medios, Objetivo Central y Fines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4680"/>
        <w:gridCol w:w="4680"/>
      </w:tblGrid>
      <w:tr>
        <w:tc>
          <w:tcPr>
            <w:tcW w:type="dxa" w:w="198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Nivel</w:t>
            </w:r>
          </w:p>
        </w:tc>
        <w:tc>
          <w:tcPr>
            <w:tcW w:type="dxa" w:w="6803"/>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Contenido</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Fines indirectos</w:t>
            </w:r>
          </w:p>
        </w:tc>
        <w:tc>
          <w:tcPr>
            <w:tcW w:type="dxa" w:w="6803"/>
          </w:tcPr>
          <w:p>
            <w:pPr>
              <w:spacing w:line="240" w:lineRule="auto" w:after="60" w:before="60"/>
              <w:ind w:firstLine="0"/>
              <w:jc w:val="left"/>
            </w:pPr>
            <w:r/>
            <w:r>
              <w:rPr>
                <w:rFonts w:ascii="Times New Roman" w:hAnsi="Times New Roman" w:cs="Times New Roman" w:eastAsia="Times New Roman"/>
                <w:b w:val="0"/>
                <w:sz w:val="20"/>
              </w:rPr>
              <w:t>Ahorro económico por multas y recargos evitados. Relaciones familiares y laborales más tranquilas. Mayor bienestar y menos estrés.</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Fines directos</w:t>
            </w:r>
          </w:p>
        </w:tc>
        <w:tc>
          <w:tcPr>
            <w:tcW w:type="dxa" w:w="6803"/>
          </w:tcPr>
          <w:p>
            <w:pPr>
              <w:spacing w:line="240" w:lineRule="auto" w:after="60" w:before="60"/>
              <w:ind w:firstLine="0"/>
              <w:jc w:val="left"/>
            </w:pPr>
            <w:r/>
            <w:r>
              <w:rPr>
                <w:rFonts w:ascii="Times New Roman" w:hAnsi="Times New Roman" w:cs="Times New Roman" w:eastAsia="Times New Roman"/>
                <w:b w:val="0"/>
                <w:sz w:val="20"/>
              </w:rPr>
              <w:t>Cumplimiento puntual de obligaciones. Vida diaria organizada. Aprovechamiento de oportunidades.</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OBJETIVO CENTRAL</w:t>
            </w:r>
          </w:p>
        </w:tc>
        <w:tc>
          <w:tcPr>
            <w:tcW w:type="dxa" w:w="6803"/>
          </w:tcPr>
          <w:p>
            <w:pPr>
              <w:spacing w:line="240" w:lineRule="auto" w:after="60" w:before="60"/>
              <w:ind w:firstLine="0"/>
              <w:jc w:val="left"/>
            </w:pPr>
            <w:r/>
            <w:r>
              <w:rPr>
                <w:rFonts w:ascii="Times New Roman" w:hAnsi="Times New Roman" w:cs="Times New Roman" w:eastAsia="Times New Roman"/>
                <w:b w:val="0"/>
                <w:sz w:val="20"/>
              </w:rPr>
              <w:t>Los adultos entre 25 y 55 años recuerdan y cumplen a tiempo sus tareas y responsabilidades cotidianas.</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Medios directos</w:t>
            </w:r>
          </w:p>
        </w:tc>
        <w:tc>
          <w:tcPr>
            <w:tcW w:type="dxa" w:w="6803"/>
          </w:tcPr>
          <w:p>
            <w:pPr>
              <w:spacing w:line="240" w:lineRule="auto" w:after="60" w:before="60"/>
              <w:ind w:firstLine="0"/>
              <w:jc w:val="left"/>
            </w:pPr>
            <w:r/>
            <w:r>
              <w:rPr>
                <w:rFonts w:ascii="Times New Roman" w:hAnsi="Times New Roman" w:cs="Times New Roman" w:eastAsia="Times New Roman"/>
                <w:b w:val="0"/>
                <w:sz w:val="20"/>
              </w:rPr>
              <w:t>Reducción del estrés apoyándose en una organización externa. Aplicación unificada de recordatorios. Gestión integral de todas las áreas de vida.</w:t>
            </w:r>
          </w:p>
        </w:tc>
      </w:tr>
      <w:tr>
        <w:tc>
          <w:tcPr>
            <w:tcW w:type="dxa" w:w="1984"/>
          </w:tcPr>
          <w:p>
            <w:pPr>
              <w:spacing w:line="240" w:lineRule="auto" w:after="60" w:before="60"/>
              <w:ind w:firstLine="0"/>
              <w:jc w:val="left"/>
            </w:pPr>
            <w:r/>
            <w:r>
              <w:rPr>
                <w:rFonts w:ascii="Times New Roman" w:hAnsi="Times New Roman" w:cs="Times New Roman" w:eastAsia="Times New Roman"/>
                <w:b w:val="0"/>
                <w:sz w:val="20"/>
              </w:rPr>
              <w:t>Medios raíz</w:t>
            </w:r>
          </w:p>
        </w:tc>
        <w:tc>
          <w:tcPr>
            <w:tcW w:type="dxa" w:w="6803"/>
          </w:tcPr>
          <w:p>
            <w:pPr>
              <w:spacing w:line="240" w:lineRule="auto" w:after="60" w:before="60"/>
              <w:ind w:firstLine="0"/>
              <w:jc w:val="left"/>
            </w:pPr>
            <w:r/>
            <w:r>
              <w:rPr>
                <w:rFonts w:ascii="Times New Roman" w:hAnsi="Times New Roman" w:cs="Times New Roman" w:eastAsia="Times New Roman"/>
                <w:b w:val="0"/>
                <w:sz w:val="20"/>
              </w:rPr>
              <w:t>Centralización en una sola plataforma. Avisos ordenados por urgencia y configurables. Recordatorios automáticos por plantilla. Diseño adaptado al contexto colombiano. Siete módulos por área de vida. Categorización y personalización.</w:t>
            </w:r>
          </w:p>
        </w:tc>
      </w:tr>
    </w:tbl>
    <w:p/>
    <w:p>
      <w:pPr>
        <w:pStyle w:val="Heading2"/>
      </w:pPr>
      <w:r>
        <w:t>3.3 Justificación</w:t>
      </w:r>
    </w:p>
    <w:p>
      <w:pPr>
        <w:pStyle w:val="Heading3"/>
      </w:pPr>
      <w:r>
        <w:t>Por qué se va a hacer</w:t>
      </w:r>
    </w:p>
    <w:p>
      <w:r>
        <w:t>Porque el costo del olvido en Colombia se puede medir y es alto, y porque las herramientas que hay no lo atacan. Un adulto colombiano administra al mismo tiempo obligaciones de vehículo con vencimiento legal, como SOAT, tecnomecánica y pico y placa, obligaciones tributarias como el predial y el impuesto vehicular, obligaciones de salud como controles y exámenes periódicos, y las del hogar y la familia. Ninguna aplicación del mercado le entrega ese calendario ya armado. Todas esperan que él lo arme, y así reproducen exactamente la carga que se supone venían a quitar.</w:t>
      </w:r>
    </w:p>
    <w:p>
      <w:pPr>
        <w:pStyle w:val="Heading3"/>
      </w:pPr>
      <w:r>
        <w:t>Para qué se va a hacer</w:t>
      </w:r>
    </w:p>
    <w:p>
      <w:r>
        <w:t>Para que el usuario deje de cargar sus obligaciones en la memoria y las delegue en un sistema que las conoce de antemano. El fin no es organizar tareas, sino bajar la carga mental y el costo económico que trae incumplir sin querer.</w:t>
      </w:r>
    </w:p>
    <w:p>
      <w:pPr>
        <w:pStyle w:val="Heading3"/>
      </w:pPr>
      <w:r>
        <w:t>Qué problemas resuelve</w:t>
      </w:r>
    </w:p>
    <w:p>
      <w:r>
        <w:t>Resuelve la dispersión, porque reemplaza notas sueltas, capturas de pantalla y aplicaciones regadas por un solo punto de consulta. Resuelve el desconocimiento, porque el usuario no necesita saber cada cuánto vence una obligación: la plantilla del módulo ya lo sabe. Ayuda a decidir qué va primero, separando lo que tiene consecuencia legal o económica de lo que solo sería deseable. Y baja la barrera de entrada, porque el modelo freemium permite usar los módulos esenciales sin pagar.</w:t>
      </w:r>
    </w:p>
    <w:p>
      <w:pPr>
        <w:pStyle w:val="Heading3"/>
      </w:pPr>
      <w:r>
        <w:t>Cómo se va a hacer</w:t>
      </w:r>
    </w:p>
    <w:p>
      <w:r>
        <w:t>Desarrollando una plataforma web y móvil con arquitectura cliente servidor, backend en Node.js con Express, base de datos PostgreSQL gestionada sobre Supabase, autenticación por token JWT y un servicio programado de notificaciones. La ejecución sigue el cronograma de la sección 11, valida el mercado antes de desarrollar e incorpora el cumplimiento en protección de datos desde el diseño.</w:t>
      </w:r>
    </w:p>
    <w:p>
      <w:pPr>
        <w:pStyle w:val="Heading3"/>
      </w:pPr>
      <w:r>
        <w:t>Justificación técnica</w:t>
      </w:r>
    </w:p>
    <w:p>
      <w:r>
        <w:t>El proyecto se puede construir con tecnologías maduras, gratuitas o baratas en su nivel de entrada, y con un equipo de estudiantes de ingeniería. La arquitectura propuesta no incluye nada que haya que investigar: es integración de piezas probadas. Lo complicado no es construir el software sino curar el contenido de las plantillas, porque toca verificar la normatividad y los ciclos reales de cada obligación.</w:t>
      </w:r>
    </w:p>
    <w:p>
      <w:pPr>
        <w:pStyle w:val="Heading3"/>
      </w:pPr>
      <w:r>
        <w:t>Justificación social</w:t>
      </w:r>
    </w:p>
    <w:p>
      <w:r>
        <w:t>El proyecto interviene sobre un factor de carga mental en población económicamente activa, en un país donde la prevalencia de ansiedad se cuadruplicó respecto de 2015 (Minsalud, 2025). Al dejar gratuitos los módulos de hogar, vehículo y familia, el beneficio de mayor impacto económico, que es evitar multas de tránsito, queda al alcance sin pagar. Así se evita que la herramienta termine sirviendo solo a quien ya puede comprarla.</w:t>
      </w:r>
    </w:p>
    <w:p>
      <w:pPr>
        <w:pStyle w:val="Heading3"/>
      </w:pPr>
      <w:r>
        <w:t>Justificación económica</w:t>
      </w:r>
    </w:p>
    <w:p>
      <w:r>
        <w:t>Para el usuario las cuentas salen con holgura: evitar un solo comparendo por SOAT vencido, que cuesta $1.750.890, equivale a varios años de suscripción. Para el proyecto, la suscripción genera ingresos predecibles y el costo de atender a un usuario más es casi cero, como ocurre en el software como servicio.</w:t>
      </w:r>
    </w:p>
    <w:p>
      <w:pPr>
        <w:pStyle w:val="Heading3"/>
      </w:pPr>
      <w:r>
        <w:t>Justificación ambiental</w:t>
      </w:r>
    </w:p>
    <w:p>
      <w:r>
        <w:t>El impacto ambiental directo es bajo y tiene dos signos. Del lado positivo, sustituye soportes en papel y reduce desplazamientos por trámites vencidos o mal programados. Del lado negativo, consume energía de centros de datos. Para mitigarlo se contrata infraestructura con compromiso de energía renovable y se optimiza la frecuencia de las consultas programadas, como se detalla en la sección 10.</w:t>
      </w:r>
    </w:p>
    <w:p>
      <w:r>
        <w:br w:type="page"/>
      </w:r>
    </w:p>
    <w:p>
      <w:pPr>
        <w:pStyle w:val="Heading1"/>
      </w:pPr>
      <w:r>
        <w:t>4. Objetivos del proyecto</w:t>
      </w:r>
    </w:p>
    <w:p>
      <w:pPr>
        <w:pStyle w:val="Heading2"/>
      </w:pPr>
      <w:r>
        <w:t>Objetivo general</w:t>
      </w:r>
    </w:p>
    <w:p>
      <w:r>
        <w:rPr>
          <w:b/>
        </w:rPr>
        <w:t>Desarrollar y validar, en un plazo de 114 días hábiles, una plataforma digital web y móvil que centralice y automatice la gestión de recordatorios de las siete áreas de responsabilidad de la vida adulta en Colombia, bajo un modelo freemium, de modo que sus usuarios reduzcan de forma verificable el incumplimiento involuntario de obligaciones cotidianas.</w:t>
      </w:r>
    </w:p>
    <w:p>
      <w:pPr>
        <w:pStyle w:val="Heading2"/>
      </w:pPr>
      <w:r>
        <w:t>Objetivos específicos</w:t>
      </w:r>
    </w:p>
    <w:p>
      <w:pPr>
        <w:spacing w:before="240"/>
        <w:ind w:firstLine="0"/>
      </w:pPr>
      <w:r>
        <w:rPr>
          <w:rFonts w:ascii="Times New Roman" w:hAnsi="Times New Roman" w:cs="Times New Roman" w:eastAsia="Times New Roman"/>
          <w:b/>
          <w:sz w:val="24"/>
        </w:rPr>
        <w:t>Tabla 7</w:t>
      </w:r>
    </w:p>
    <w:p>
      <w:pPr>
        <w:ind w:firstLine="0"/>
      </w:pPr>
      <w:r>
        <w:rPr>
          <w:rFonts w:ascii="Times New Roman" w:hAnsi="Times New Roman" w:cs="Times New Roman" w:eastAsia="Times New Roman"/>
          <w:i/>
          <w:sz w:val="24"/>
        </w:rPr>
        <w:t>Objetivos Específicos, Indicadores y Metas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2340"/>
        <w:gridCol w:w="2340"/>
        <w:gridCol w:w="2340"/>
        <w:gridCol w:w="2340"/>
      </w:tblGrid>
      <w:tr>
        <w:tc>
          <w:tcPr>
            <w:tcW w:type="dxa" w:w="56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N.º</w:t>
            </w:r>
          </w:p>
        </w:tc>
        <w:tc>
          <w:tcPr>
            <w:tcW w:type="dxa" w:w="317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Objetivo específico</w:t>
            </w:r>
          </w:p>
        </w:tc>
        <w:tc>
          <w:tcPr>
            <w:tcW w:type="dxa" w:w="238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Indicador de cumplimiento</w:t>
            </w:r>
          </w:p>
        </w:tc>
        <w:tc>
          <w:tcPr>
            <w:tcW w:type="dxa" w:w="266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Meta o entregable</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w:t>
            </w:r>
          </w:p>
        </w:tc>
        <w:tc>
          <w:tcPr>
            <w:tcW w:type="dxa" w:w="3175"/>
          </w:tcPr>
          <w:p>
            <w:pPr>
              <w:spacing w:line="240" w:lineRule="auto" w:after="60" w:before="60"/>
              <w:ind w:firstLine="0"/>
              <w:jc w:val="left"/>
            </w:pPr>
            <w:r/>
            <w:r>
              <w:rPr>
                <w:rFonts w:ascii="Times New Roman" w:hAnsi="Times New Roman" w:cs="Times New Roman" w:eastAsia="Times New Roman"/>
                <w:b w:val="0"/>
                <w:sz w:val="20"/>
              </w:rPr>
              <w:t>Determinar, mediante investigación de campo, las obligaciones recurrentes que más olvidan los adultos de 25 a 55 años residentes en Colombia.</w:t>
            </w:r>
          </w:p>
        </w:tc>
        <w:tc>
          <w:tcPr>
            <w:tcW w:type="dxa" w:w="2381"/>
          </w:tcPr>
          <w:p>
            <w:pPr>
              <w:spacing w:line="240" w:lineRule="auto" w:after="60" w:before="60"/>
              <w:ind w:firstLine="0"/>
              <w:jc w:val="left"/>
            </w:pPr>
            <w:r/>
            <w:r>
              <w:rPr>
                <w:rFonts w:ascii="Times New Roman" w:hAnsi="Times New Roman" w:cs="Times New Roman" w:eastAsia="Times New Roman"/>
                <w:b w:val="0"/>
                <w:sz w:val="20"/>
              </w:rPr>
              <w:t>Número de encuestas válidas aplicadas y de obligaciones priorizadas</w:t>
            </w:r>
          </w:p>
        </w:tc>
        <w:tc>
          <w:tcPr>
            <w:tcW w:type="dxa" w:w="2665"/>
          </w:tcPr>
          <w:p>
            <w:pPr>
              <w:spacing w:line="240" w:lineRule="auto" w:after="60" w:before="60"/>
              <w:ind w:firstLine="0"/>
              <w:jc w:val="left"/>
            </w:pPr>
            <w:r/>
            <w:r>
              <w:rPr>
                <w:rFonts w:ascii="Times New Roman" w:hAnsi="Times New Roman" w:cs="Times New Roman" w:eastAsia="Times New Roman"/>
                <w:b w:val="0"/>
                <w:sz w:val="20"/>
              </w:rPr>
              <w:t>200 encuestas válidas y 10 entrevistas. Listado priorizado de al menos 40 obligaciones recurrentes</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w:t>
            </w:r>
          </w:p>
        </w:tc>
        <w:tc>
          <w:tcPr>
            <w:tcW w:type="dxa" w:w="3175"/>
          </w:tcPr>
          <w:p>
            <w:pPr>
              <w:spacing w:line="240" w:lineRule="auto" w:after="60" w:before="60"/>
              <w:ind w:firstLine="0"/>
              <w:jc w:val="left"/>
            </w:pPr>
            <w:r/>
            <w:r>
              <w:rPr>
                <w:rFonts w:ascii="Times New Roman" w:hAnsi="Times New Roman" w:cs="Times New Roman" w:eastAsia="Times New Roman"/>
                <w:b w:val="0"/>
                <w:sz w:val="20"/>
              </w:rPr>
              <w:t>Diseñar la arquitectura técnica y el modelo de datos de la plataforma, cubriendo los siete módulos y el esquema de repetición de recordatorios.</w:t>
            </w:r>
          </w:p>
        </w:tc>
        <w:tc>
          <w:tcPr>
            <w:tcW w:type="dxa" w:w="2381"/>
          </w:tcPr>
          <w:p>
            <w:pPr>
              <w:spacing w:line="240" w:lineRule="auto" w:after="60" w:before="60"/>
              <w:ind w:firstLine="0"/>
              <w:jc w:val="left"/>
            </w:pPr>
            <w:r/>
            <w:r>
              <w:rPr>
                <w:rFonts w:ascii="Times New Roman" w:hAnsi="Times New Roman" w:cs="Times New Roman" w:eastAsia="Times New Roman"/>
                <w:b w:val="0"/>
                <w:sz w:val="20"/>
              </w:rPr>
              <w:t>Modelo entidad relación aprobado y documentado</w:t>
            </w:r>
          </w:p>
        </w:tc>
        <w:tc>
          <w:tcPr>
            <w:tcW w:type="dxa" w:w="2665"/>
          </w:tcPr>
          <w:p>
            <w:pPr>
              <w:spacing w:line="240" w:lineRule="auto" w:after="60" w:before="60"/>
              <w:ind w:firstLine="0"/>
              <w:jc w:val="left"/>
            </w:pPr>
            <w:r/>
            <w:r>
              <w:rPr>
                <w:rFonts w:ascii="Times New Roman" w:hAnsi="Times New Roman" w:cs="Times New Roman" w:eastAsia="Times New Roman"/>
                <w:b w:val="0"/>
                <w:sz w:val="20"/>
              </w:rPr>
              <w:t>Diagrama entidad relación y guion de base de datos desplegado en ambiente de pruebas</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3</w:t>
            </w:r>
          </w:p>
        </w:tc>
        <w:tc>
          <w:tcPr>
            <w:tcW w:type="dxa" w:w="3175"/>
          </w:tcPr>
          <w:p>
            <w:pPr>
              <w:spacing w:line="240" w:lineRule="auto" w:after="60" w:before="60"/>
              <w:ind w:firstLine="0"/>
              <w:jc w:val="left"/>
            </w:pPr>
            <w:r/>
            <w:r>
              <w:rPr>
                <w:rFonts w:ascii="Times New Roman" w:hAnsi="Times New Roman" w:cs="Times New Roman" w:eastAsia="Times New Roman"/>
                <w:b w:val="0"/>
                <w:sz w:val="20"/>
              </w:rPr>
              <w:t>Implementar una versión funcional mínima de la plataforma web y móvil con los siete módulos, autenticación de usuarios y creación de recordatorios por plantilla.</w:t>
            </w:r>
          </w:p>
        </w:tc>
        <w:tc>
          <w:tcPr>
            <w:tcW w:type="dxa" w:w="2381"/>
          </w:tcPr>
          <w:p>
            <w:pPr>
              <w:spacing w:line="240" w:lineRule="auto" w:after="60" w:before="60"/>
              <w:ind w:firstLine="0"/>
              <w:jc w:val="left"/>
            </w:pPr>
            <w:r/>
            <w:r>
              <w:rPr>
                <w:rFonts w:ascii="Times New Roman" w:hAnsi="Times New Roman" w:cs="Times New Roman" w:eastAsia="Times New Roman"/>
                <w:b w:val="0"/>
                <w:sz w:val="20"/>
              </w:rPr>
              <w:t>Porcentaje de requisitos funcionales implementados y aprobados en pruebas</w:t>
            </w:r>
          </w:p>
        </w:tc>
        <w:tc>
          <w:tcPr>
            <w:tcW w:type="dxa" w:w="2665"/>
          </w:tcPr>
          <w:p>
            <w:pPr>
              <w:spacing w:line="240" w:lineRule="auto" w:after="60" w:before="60"/>
              <w:ind w:firstLine="0"/>
              <w:jc w:val="left"/>
            </w:pPr>
            <w:r/>
            <w:r>
              <w:rPr>
                <w:rFonts w:ascii="Times New Roman" w:hAnsi="Times New Roman" w:cs="Times New Roman" w:eastAsia="Times New Roman"/>
                <w:b w:val="0"/>
                <w:sz w:val="20"/>
              </w:rPr>
              <w:t>Al menos 90% de los requisitos priorizados, con 7 módulos operativos y 40 plantillas o más cargadas</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4</w:t>
            </w:r>
          </w:p>
        </w:tc>
        <w:tc>
          <w:tcPr>
            <w:tcW w:type="dxa" w:w="3175"/>
          </w:tcPr>
          <w:p>
            <w:pPr>
              <w:spacing w:line="240" w:lineRule="auto" w:after="60" w:before="60"/>
              <w:ind w:firstLine="0"/>
              <w:jc w:val="left"/>
            </w:pPr>
            <w:r/>
            <w:r>
              <w:rPr>
                <w:rFonts w:ascii="Times New Roman" w:hAnsi="Times New Roman" w:cs="Times New Roman" w:eastAsia="Times New Roman"/>
                <w:b w:val="0"/>
                <w:sz w:val="20"/>
              </w:rPr>
              <w:t>Implementar el servicio automático de notificaciones programadas conforme a los límites de contacto de la Ley 2300 de 2023.</w:t>
            </w:r>
          </w:p>
        </w:tc>
        <w:tc>
          <w:tcPr>
            <w:tcW w:type="dxa" w:w="2381"/>
          </w:tcPr>
          <w:p>
            <w:pPr>
              <w:spacing w:line="240" w:lineRule="auto" w:after="60" w:before="60"/>
              <w:ind w:firstLine="0"/>
              <w:jc w:val="left"/>
            </w:pPr>
            <w:r/>
            <w:r>
              <w:rPr>
                <w:rFonts w:ascii="Times New Roman" w:hAnsi="Times New Roman" w:cs="Times New Roman" w:eastAsia="Times New Roman"/>
                <w:b w:val="0"/>
                <w:sz w:val="20"/>
              </w:rPr>
              <w:t>Tasa de entrega efectiva de notificaciones programadas en pruebas</w:t>
            </w:r>
          </w:p>
        </w:tc>
        <w:tc>
          <w:tcPr>
            <w:tcW w:type="dxa" w:w="2665"/>
          </w:tcPr>
          <w:p>
            <w:pPr>
              <w:spacing w:line="240" w:lineRule="auto" w:after="60" w:before="60"/>
              <w:ind w:firstLine="0"/>
              <w:jc w:val="left"/>
            </w:pPr>
            <w:r/>
            <w:r>
              <w:rPr>
                <w:rFonts w:ascii="Times New Roman" w:hAnsi="Times New Roman" w:cs="Times New Roman" w:eastAsia="Times New Roman"/>
                <w:b w:val="0"/>
                <w:sz w:val="20"/>
              </w:rPr>
              <w:t>95% o más de notificaciones entregadas en la ventana prevista, con frecuencia configurable por el usuario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5</w:t>
            </w:r>
          </w:p>
        </w:tc>
        <w:tc>
          <w:tcPr>
            <w:tcW w:type="dxa" w:w="3175"/>
          </w:tcPr>
          <w:p>
            <w:pPr>
              <w:spacing w:line="240" w:lineRule="auto" w:after="60" w:before="60"/>
              <w:ind w:firstLine="0"/>
              <w:jc w:val="left"/>
            </w:pPr>
            <w:r/>
            <w:r>
              <w:rPr>
                <w:rFonts w:ascii="Times New Roman" w:hAnsi="Times New Roman" w:cs="Times New Roman" w:eastAsia="Times New Roman"/>
                <w:b w:val="0"/>
                <w:sz w:val="20"/>
              </w:rPr>
              <w:t>Establecer el cumplimiento normativo en protección de datos personales exigido para operar en Colombia.</w:t>
            </w:r>
          </w:p>
        </w:tc>
        <w:tc>
          <w:tcPr>
            <w:tcW w:type="dxa" w:w="2381"/>
          </w:tcPr>
          <w:p>
            <w:pPr>
              <w:spacing w:line="240" w:lineRule="auto" w:after="60" w:before="60"/>
              <w:ind w:firstLine="0"/>
              <w:jc w:val="left"/>
            </w:pPr>
            <w:r/>
            <w:r>
              <w:rPr>
                <w:rFonts w:ascii="Times New Roman" w:hAnsi="Times New Roman" w:cs="Times New Roman" w:eastAsia="Times New Roman"/>
                <w:b w:val="0"/>
                <w:sz w:val="20"/>
              </w:rPr>
              <w:t>Trámites completados ante la Superintendencia de Industria y Comercio</w:t>
            </w:r>
          </w:p>
        </w:tc>
        <w:tc>
          <w:tcPr>
            <w:tcW w:type="dxa" w:w="2665"/>
          </w:tcPr>
          <w:p>
            <w:pPr>
              <w:spacing w:line="240" w:lineRule="auto" w:after="60" w:before="60"/>
              <w:ind w:firstLine="0"/>
              <w:jc w:val="left"/>
            </w:pPr>
            <w:r/>
            <w:r>
              <w:rPr>
                <w:rFonts w:ascii="Times New Roman" w:hAnsi="Times New Roman" w:cs="Times New Roman" w:eastAsia="Times New Roman"/>
                <w:b w:val="0"/>
                <w:sz w:val="20"/>
              </w:rPr>
              <w:t>Política de tratamiento publicada, flujo de autorización implementado y bases de datos registradas en el RNBD</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6</w:t>
            </w:r>
          </w:p>
        </w:tc>
        <w:tc>
          <w:tcPr>
            <w:tcW w:type="dxa" w:w="3175"/>
          </w:tcPr>
          <w:p>
            <w:pPr>
              <w:spacing w:line="240" w:lineRule="auto" w:after="60" w:before="60"/>
              <w:ind w:firstLine="0"/>
              <w:jc w:val="left"/>
            </w:pPr>
            <w:r/>
            <w:r>
              <w:rPr>
                <w:rFonts w:ascii="Times New Roman" w:hAnsi="Times New Roman" w:cs="Times New Roman" w:eastAsia="Times New Roman"/>
                <w:b w:val="0"/>
                <w:sz w:val="20"/>
              </w:rPr>
              <w:t>Evaluar la aceptación de la plataforma mediante una prueba piloto con usuarios reales, midiendo retención y reducción del incumplimiento percibido.</w:t>
            </w:r>
          </w:p>
        </w:tc>
        <w:tc>
          <w:tcPr>
            <w:tcW w:type="dxa" w:w="2381"/>
          </w:tcPr>
          <w:p>
            <w:pPr>
              <w:spacing w:line="240" w:lineRule="auto" w:after="60" w:before="60"/>
              <w:ind w:firstLine="0"/>
              <w:jc w:val="left"/>
            </w:pPr>
            <w:r/>
            <w:r>
              <w:rPr>
                <w:rFonts w:ascii="Times New Roman" w:hAnsi="Times New Roman" w:cs="Times New Roman" w:eastAsia="Times New Roman"/>
                <w:b w:val="0"/>
                <w:sz w:val="20"/>
              </w:rPr>
              <w:t>Usuarios activos en el piloto, retención a 30 días y variación del incumplimiento autorreportado</w:t>
            </w:r>
          </w:p>
        </w:tc>
        <w:tc>
          <w:tcPr>
            <w:tcW w:type="dxa" w:w="2665"/>
          </w:tcPr>
          <w:p>
            <w:pPr>
              <w:spacing w:line="240" w:lineRule="auto" w:after="60" w:before="60"/>
              <w:ind w:firstLine="0"/>
              <w:jc w:val="left"/>
            </w:pPr>
            <w:r/>
            <w:r>
              <w:rPr>
                <w:rFonts w:ascii="Times New Roman" w:hAnsi="Times New Roman" w:cs="Times New Roman" w:eastAsia="Times New Roman"/>
                <w:b w:val="0"/>
                <w:sz w:val="20"/>
              </w:rPr>
              <w:t>50 usuarios en piloto, retención de 40% o más a 30 días y reducción de 25% o más del incumplimiento autorreportado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7</w:t>
            </w:r>
          </w:p>
        </w:tc>
        <w:tc>
          <w:tcPr>
            <w:tcW w:type="dxa" w:w="3175"/>
          </w:tcPr>
          <w:p>
            <w:pPr>
              <w:spacing w:line="240" w:lineRule="auto" w:after="60" w:before="60"/>
              <w:ind w:firstLine="0"/>
              <w:jc w:val="left"/>
            </w:pPr>
            <w:r/>
            <w:r>
              <w:rPr>
                <w:rFonts w:ascii="Times New Roman" w:hAnsi="Times New Roman" w:cs="Times New Roman" w:eastAsia="Times New Roman"/>
                <w:b w:val="0"/>
                <w:sz w:val="20"/>
              </w:rPr>
              <w:t>Definir la estructura de precios localizada para el mercado colombiano a partir de la disposición a pagar medida en campo.</w:t>
            </w:r>
          </w:p>
        </w:tc>
        <w:tc>
          <w:tcPr>
            <w:tcW w:type="dxa" w:w="2381"/>
          </w:tcPr>
          <w:p>
            <w:pPr>
              <w:spacing w:line="240" w:lineRule="auto" w:after="60" w:before="60"/>
              <w:ind w:firstLine="0"/>
              <w:jc w:val="left"/>
            </w:pPr>
            <w:r/>
            <w:r>
              <w:rPr>
                <w:rFonts w:ascii="Times New Roman" w:hAnsi="Times New Roman" w:cs="Times New Roman" w:eastAsia="Times New Roman"/>
                <w:b w:val="0"/>
                <w:sz w:val="20"/>
              </w:rPr>
              <w:t>Precio premium definido en pesos colombianos y sustentado</w:t>
            </w:r>
          </w:p>
        </w:tc>
        <w:tc>
          <w:tcPr>
            <w:tcW w:type="dxa" w:w="2665"/>
          </w:tcPr>
          <w:p>
            <w:pPr>
              <w:spacing w:line="240" w:lineRule="auto" w:after="60" w:before="60"/>
              <w:ind w:firstLine="0"/>
              <w:jc w:val="left"/>
            </w:pPr>
            <w:r/>
            <w:r>
              <w:rPr>
                <w:rFonts w:ascii="Times New Roman" w:hAnsi="Times New Roman" w:cs="Times New Roman" w:eastAsia="Times New Roman"/>
                <w:b w:val="0"/>
                <w:sz w:val="20"/>
              </w:rPr>
              <w:t>Documento de política de precios con punto de equilibrio y comparación frente a competidores</w:t>
            </w:r>
          </w:p>
        </w:tc>
      </w:tr>
    </w:tbl>
    <w:p/>
    <w:p>
      <w:r>
        <w:br w:type="page"/>
      </w:r>
    </w:p>
    <w:p>
      <w:pPr>
        <w:pStyle w:val="Heading1"/>
      </w:pPr>
      <w:r>
        <w:t>5. Alcance del proyecto</w:t>
      </w:r>
    </w:p>
    <w:p>
      <w:pPr>
        <w:pStyle w:val="Heading2"/>
      </w:pPr>
      <w:r>
        <w:t>Qué incluye y qué no incluye</w:t>
      </w:r>
    </w:p>
    <w:p>
      <w:pPr>
        <w:spacing w:before="240"/>
        <w:ind w:firstLine="0"/>
      </w:pPr>
      <w:r>
        <w:rPr>
          <w:rFonts w:ascii="Times New Roman" w:hAnsi="Times New Roman" w:cs="Times New Roman" w:eastAsia="Times New Roman"/>
          <w:b/>
          <w:sz w:val="24"/>
        </w:rPr>
        <w:t>Tabla 8</w:t>
      </w:r>
    </w:p>
    <w:p>
      <w:pPr>
        <w:ind w:firstLine="0"/>
      </w:pPr>
      <w:r>
        <w:rPr>
          <w:rFonts w:ascii="Times New Roman" w:hAnsi="Times New Roman" w:cs="Times New Roman" w:eastAsia="Times New Roman"/>
          <w:i/>
          <w:sz w:val="24"/>
        </w:rPr>
        <w:t>Delimitación del Alcance del Proyecto</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4680"/>
        <w:gridCol w:w="4680"/>
      </w:tblGrid>
      <w:tr>
        <w:tc>
          <w:tcPr>
            <w:tcW w:type="dxa" w:w="436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Incluye</w:t>
            </w:r>
          </w:p>
        </w:tc>
        <w:tc>
          <w:tcPr>
            <w:tcW w:type="dxa" w:w="436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No incluye</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Investigación de campo con 200 encuestas y 10 entrevistas a adultos de 25 a 55 años en Colombia.</w:t>
            </w:r>
          </w:p>
        </w:tc>
        <w:tc>
          <w:tcPr>
            <w:tcW w:type="dxa" w:w="4365"/>
          </w:tcPr>
          <w:p>
            <w:pPr>
              <w:spacing w:line="240" w:lineRule="auto" w:after="60" w:before="60"/>
              <w:ind w:firstLine="0"/>
              <w:jc w:val="left"/>
            </w:pPr>
            <w:r/>
            <w:r>
              <w:rPr>
                <w:rFonts w:ascii="Times New Roman" w:hAnsi="Times New Roman" w:cs="Times New Roman" w:eastAsia="Times New Roman"/>
                <w:b w:val="0"/>
                <w:sz w:val="20"/>
              </w:rPr>
              <w:t>Operación comercial en producción y campaña de lanzamiento al público general.</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Diseño de la arquitectura, el modelo de datos y la interfaz de usuario.</w:t>
            </w:r>
          </w:p>
        </w:tc>
        <w:tc>
          <w:tcPr>
            <w:tcW w:type="dxa" w:w="4365"/>
          </w:tcPr>
          <w:p>
            <w:pPr>
              <w:spacing w:line="240" w:lineRule="auto" w:after="60" w:before="60"/>
              <w:ind w:firstLine="0"/>
              <w:jc w:val="left"/>
            </w:pPr>
            <w:r/>
            <w:r>
              <w:rPr>
                <w:rFonts w:ascii="Times New Roman" w:hAnsi="Times New Roman" w:cs="Times New Roman" w:eastAsia="Times New Roman"/>
                <w:b w:val="0"/>
                <w:sz w:val="20"/>
              </w:rPr>
              <w:t>Procesamiento de pagos reales. La pasarela queda en ambiente de pruebas.</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Desarrollo de un producto mínimo viable funcional: aplicación web adaptable y aplicación móvil.</w:t>
            </w:r>
          </w:p>
        </w:tc>
        <w:tc>
          <w:tcPr>
            <w:tcW w:type="dxa" w:w="4365"/>
          </w:tcPr>
          <w:p>
            <w:pPr>
              <w:spacing w:line="240" w:lineRule="auto" w:after="60" w:before="60"/>
              <w:ind w:firstLine="0"/>
              <w:jc w:val="left"/>
            </w:pPr>
            <w:r/>
            <w:r>
              <w:rPr>
                <w:rFonts w:ascii="Times New Roman" w:hAnsi="Times New Roman" w:cs="Times New Roman" w:eastAsia="Times New Roman"/>
                <w:b w:val="0"/>
                <w:sz w:val="20"/>
              </w:rPr>
              <w:t>Integración con entidades externas como RUNT, DIAN, EPS o bancos para consultar vencimientos automáticamente.</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Los siete módulos: hogar, vehículo, salud, finanzas, familia, mascotas y general.</w:t>
            </w:r>
          </w:p>
        </w:tc>
        <w:tc>
          <w:tcPr>
            <w:tcW w:type="dxa" w:w="4365"/>
          </w:tcPr>
          <w:p>
            <w:pPr>
              <w:spacing w:line="240" w:lineRule="auto" w:after="60" w:before="60"/>
              <w:ind w:firstLine="0"/>
              <w:jc w:val="left"/>
            </w:pPr>
            <w:r/>
            <w:r>
              <w:rPr>
                <w:rFonts w:ascii="Times New Roman" w:hAnsi="Times New Roman" w:cs="Times New Roman" w:eastAsia="Times New Roman"/>
                <w:b w:val="0"/>
                <w:sz w:val="20"/>
              </w:rPr>
              <w:t>Publicación en App Store y Google Play.</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Catálogo curado de al menos 40 plantillas de obligaciones recurrentes verificadas para Colombia.</w:t>
            </w:r>
          </w:p>
        </w:tc>
        <w:tc>
          <w:tcPr>
            <w:tcW w:type="dxa" w:w="4365"/>
          </w:tcPr>
          <w:p>
            <w:pPr>
              <w:spacing w:line="240" w:lineRule="auto" w:after="60" w:before="60"/>
              <w:ind w:firstLine="0"/>
              <w:jc w:val="left"/>
            </w:pPr>
            <w:r/>
            <w:r>
              <w:rPr>
                <w:rFonts w:ascii="Times New Roman" w:hAnsi="Times New Roman" w:cs="Times New Roman" w:eastAsia="Times New Roman"/>
                <w:b w:val="0"/>
                <w:sz w:val="20"/>
              </w:rPr>
              <w:t>Módulos de inteligencia artificial generativa o asistente conversacional.</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Registro y autenticación de usuarios con token JWT.</w:t>
            </w:r>
          </w:p>
        </w:tc>
        <w:tc>
          <w:tcPr>
            <w:tcW w:type="dxa" w:w="4365"/>
          </w:tcPr>
          <w:p>
            <w:pPr>
              <w:spacing w:line="240" w:lineRule="auto" w:after="60" w:before="60"/>
              <w:ind w:firstLine="0"/>
              <w:jc w:val="left"/>
            </w:pPr>
            <w:r/>
            <w:r>
              <w:rPr>
                <w:rFonts w:ascii="Times New Roman" w:hAnsi="Times New Roman" w:cs="Times New Roman" w:eastAsia="Times New Roman"/>
                <w:b w:val="0"/>
                <w:sz w:val="20"/>
              </w:rPr>
              <w:t>Versiones en idiomas distintos del español.</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Servicio programado de notificaciones con frecuencia configurable.</w:t>
            </w:r>
          </w:p>
        </w:tc>
        <w:tc>
          <w:tcPr>
            <w:tcW w:type="dxa" w:w="4365"/>
          </w:tcPr>
          <w:p>
            <w:pPr>
              <w:spacing w:line="240" w:lineRule="auto" w:after="60" w:before="60"/>
              <w:ind w:firstLine="0"/>
              <w:jc w:val="left"/>
            </w:pPr>
            <w:r/>
            <w:r>
              <w:rPr>
                <w:rFonts w:ascii="Times New Roman" w:hAnsi="Times New Roman" w:cs="Times New Roman" w:eastAsia="Times New Roman"/>
                <w:b w:val="0"/>
                <w:sz w:val="20"/>
              </w:rPr>
              <w:t>Expansión a mercados fuera de Colombia.</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Integración de una pasarela de pagos en modo de pruebas para activar los módulos premium.</w:t>
            </w:r>
          </w:p>
        </w:tc>
        <w:tc>
          <w:tcPr>
            <w:tcW w:type="dxa" w:w="4365"/>
          </w:tcPr>
          <w:p>
            <w:pPr>
              <w:spacing w:line="240" w:lineRule="auto" w:after="60" w:before="60"/>
              <w:ind w:firstLine="0"/>
              <w:jc w:val="left"/>
            </w:pPr>
            <w:r/>
            <w:r>
              <w:rPr>
                <w:rFonts w:ascii="Times New Roman" w:hAnsi="Times New Roman" w:cs="Times New Roman" w:eastAsia="Times New Roman"/>
                <w:b w:val="0"/>
                <w:sz w:val="20"/>
              </w:rPr>
              <w:t>Soporte técnico permanente y acuerdos de nivel de servicio.</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Política de tratamiento de datos y registro de bases de datos ante la SIC.</w:t>
            </w:r>
          </w:p>
        </w:tc>
        <w:tc>
          <w:tcPr>
            <w:tcW w:type="dxa" w:w="4365"/>
          </w:tcPr>
          <w:p>
            <w:pPr>
              <w:spacing w:line="240" w:lineRule="auto" w:after="60" w:before="60"/>
              <w:ind w:firstLine="0"/>
              <w:jc w:val="left"/>
            </w:pPr>
            <w:r/>
            <w:r>
              <w:rPr>
                <w:rFonts w:ascii="Times New Roman" w:hAnsi="Times New Roman" w:cs="Times New Roman" w:eastAsia="Times New Roman"/>
                <w:b w:val="0"/>
                <w:sz w:val="20"/>
              </w:rPr>
              <w:t>Constitución jurídica efectiva de la sociedad. Queda formulada, no ejecutada.</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Prueba piloto con 50 usuarios reales durante 10 días hábiles.</w:t>
            </w:r>
          </w:p>
        </w:tc>
        <w:tc>
          <w:tcPr>
            <w:tcW w:type="dxa" w:w="4365"/>
          </w:tcPr>
          <w:p>
            <w:pPr>
              <w:spacing w:line="240" w:lineRule="auto" w:after="60" w:before="60"/>
              <w:ind w:firstLine="0"/>
              <w:jc w:val="left"/>
            </w:pPr>
            <w:r/>
            <w:r>
              <w:rPr>
                <w:rFonts w:ascii="Times New Roman" w:hAnsi="Times New Roman" w:cs="Times New Roman" w:eastAsia="Times New Roman"/>
                <w:b w:val="0"/>
                <w:sz w:val="20"/>
              </w:rPr>
            </w:r>
          </w:p>
        </w:tc>
      </w:tr>
    </w:tbl>
    <w:p/>
    <w:p>
      <w:pPr>
        <w:pStyle w:val="Heading2"/>
      </w:pPr>
      <w:r>
        <w:t>Entregables principales</w:t>
      </w:r>
    </w:p>
    <w:p>
      <w:pPr>
        <w:pStyle w:val="ListBullet"/>
        <w:spacing w:line="480" w:lineRule="auto" w:after="0"/>
        <w:ind w:left="720"/>
      </w:pPr>
      <w:r>
        <w:rPr>
          <w:rFonts w:ascii="Times New Roman" w:hAnsi="Times New Roman" w:cs="Times New Roman" w:eastAsia="Times New Roman"/>
          <w:sz w:val="24"/>
        </w:rPr>
        <w:t>Perfil del proyecto, que es este documento, y los estudios de mercado, ingeniería detallada y evaluación financiera de la Entrega 2.</w:t>
      </w:r>
    </w:p>
    <w:p>
      <w:pPr>
        <w:pStyle w:val="ListBullet"/>
        <w:spacing w:line="480" w:lineRule="auto" w:after="0"/>
        <w:ind w:left="720"/>
      </w:pPr>
      <w:r>
        <w:rPr>
          <w:rFonts w:ascii="Times New Roman" w:hAnsi="Times New Roman" w:cs="Times New Roman" w:eastAsia="Times New Roman"/>
          <w:sz w:val="24"/>
        </w:rPr>
        <w:t>Informe de investigación de campo con el instrumento aplicado y los resultados procesados.</w:t>
      </w:r>
    </w:p>
    <w:p>
      <w:pPr>
        <w:pStyle w:val="ListBullet"/>
        <w:spacing w:line="480" w:lineRule="auto" w:after="0"/>
        <w:ind w:left="720"/>
      </w:pPr>
      <w:r>
        <w:rPr>
          <w:rFonts w:ascii="Times New Roman" w:hAnsi="Times New Roman" w:cs="Times New Roman" w:eastAsia="Times New Roman"/>
          <w:sz w:val="24"/>
        </w:rPr>
        <w:t>Modelo entidad relación y guion de base de datos.</w:t>
      </w:r>
    </w:p>
    <w:p>
      <w:pPr>
        <w:pStyle w:val="ListBullet"/>
        <w:spacing w:line="480" w:lineRule="auto" w:after="0"/>
        <w:ind w:left="720"/>
      </w:pPr>
      <w:r>
        <w:rPr>
          <w:rFonts w:ascii="Times New Roman" w:hAnsi="Times New Roman" w:cs="Times New Roman" w:eastAsia="Times New Roman"/>
          <w:sz w:val="24"/>
        </w:rPr>
        <w:t>Prototipo navegable de interfaz validado con usuarios.</w:t>
      </w:r>
    </w:p>
    <w:p>
      <w:pPr>
        <w:pStyle w:val="ListBullet"/>
        <w:spacing w:line="480" w:lineRule="auto" w:after="0"/>
        <w:ind w:left="720"/>
      </w:pPr>
      <w:r>
        <w:rPr>
          <w:rFonts w:ascii="Times New Roman" w:hAnsi="Times New Roman" w:cs="Times New Roman" w:eastAsia="Times New Roman"/>
          <w:sz w:val="24"/>
        </w:rPr>
        <w:t>Código fuente del backend, la aplicación web y la aplicación móvil.</w:t>
      </w:r>
    </w:p>
    <w:p>
      <w:pPr>
        <w:pStyle w:val="ListBullet"/>
        <w:spacing w:line="480" w:lineRule="auto" w:after="0"/>
        <w:ind w:left="720"/>
      </w:pPr>
      <w:r>
        <w:rPr>
          <w:rFonts w:ascii="Times New Roman" w:hAnsi="Times New Roman" w:cs="Times New Roman" w:eastAsia="Times New Roman"/>
          <w:sz w:val="24"/>
        </w:rPr>
        <w:t>Catálogo de plantillas de obligaciones recurrentes con su fuente normativa.</w:t>
      </w:r>
    </w:p>
    <w:p>
      <w:pPr>
        <w:pStyle w:val="ListBullet"/>
        <w:spacing w:line="480" w:lineRule="auto" w:after="0"/>
        <w:ind w:left="720"/>
      </w:pPr>
      <w:r>
        <w:rPr>
          <w:rFonts w:ascii="Times New Roman" w:hAnsi="Times New Roman" w:cs="Times New Roman" w:eastAsia="Times New Roman"/>
          <w:sz w:val="24"/>
        </w:rPr>
        <w:t>Política de tratamiento de datos personales y constancia de registro en el RNBD.</w:t>
      </w:r>
    </w:p>
    <w:p>
      <w:pPr>
        <w:pStyle w:val="ListBullet"/>
        <w:spacing w:line="480" w:lineRule="auto" w:after="0"/>
        <w:ind w:left="720"/>
      </w:pPr>
      <w:r>
        <w:rPr>
          <w:rFonts w:ascii="Times New Roman" w:hAnsi="Times New Roman" w:cs="Times New Roman" w:eastAsia="Times New Roman"/>
          <w:sz w:val="24"/>
        </w:rPr>
        <w:t>Informe de resultados de la prueba piloto.</w:t>
      </w:r>
    </w:p>
    <w:p>
      <w:pPr>
        <w:pStyle w:val="ListBullet"/>
        <w:spacing w:line="480" w:lineRule="auto" w:after="0"/>
        <w:ind w:left="720"/>
      </w:pPr>
      <w:r>
        <w:rPr>
          <w:rFonts w:ascii="Times New Roman" w:hAnsi="Times New Roman" w:cs="Times New Roman" w:eastAsia="Times New Roman"/>
          <w:sz w:val="24"/>
        </w:rPr>
        <w:t>Cronograma en software especializado con diagrama de Gantt, red PERT y ruta crítica.</w:t>
      </w:r>
    </w:p>
    <w:p>
      <w:pPr>
        <w:pStyle w:val="Heading2"/>
      </w:pPr>
      <w:r>
        <w:t>Restricciones</w:t>
      </w:r>
    </w:p>
    <w:p>
      <w:r>
        <w:t>Son las limitaciones externas al equipo. El proyecto debe cerrarse dentro del calendario académico del semestre. Se financia con recursos propios, sin capital externo disponible. El equipo son cuatro personas con dedicación parcial y no se contrata a nadie más. El tratamiento de datos de salud es de categoría especial y no admite atajos. La operación se mantiene dentro de los límites del nivel gratuito de los servicios contratados. Y las pasarelas de pago exigen persona jurídica constituida para operar en modo real, algo que queda fuera del alcance.</w:t>
      </w:r>
    </w:p>
    <w:p>
      <w:pPr>
        <w:pStyle w:val="Heading2"/>
      </w:pPr>
      <w:r>
        <w:t>Supuestos</w:t>
      </w:r>
    </w:p>
    <w:p>
      <w:r>
        <w:t>Son las condiciones que se asumen ciertas. Que la conectividad se mantenga en niveles parecidos a los actuales, con 73,9% de hogares con internet (DANE, 2025). Que el nivel gratuito de Supabase y de la plataforma de despliegue alcance para el volumen del piloto, que son 50 usuarios. Que el marco de protección de datos no cambie de forma sustancial durante la ejecución. Que se logre reclutar 200 encuestados y 50 usuarios de piloto por canales propios del equipo. Que los ciclos de las obligaciones recurrentes, como el SOAT anual y la tecnomecánica anual, sigan vigentes. Y que el equipo conserve su composición durante los 114 días hábiles del cronograma.</w:t>
      </w:r>
    </w:p>
    <w:p>
      <w:r>
        <w:br w:type="page"/>
      </w:r>
    </w:p>
    <w:p>
      <w:pPr>
        <w:pStyle w:val="Heading1"/>
      </w:pPr>
      <w:r>
        <w:t>6. Análisis del entorno. Matriz PESTEL para Colombia</w:t>
      </w:r>
    </w:p>
    <w:p>
      <w:pPr>
        <w:spacing w:before="240"/>
        <w:ind w:firstLine="0"/>
      </w:pPr>
      <w:r>
        <w:rPr>
          <w:rFonts w:ascii="Times New Roman" w:hAnsi="Times New Roman" w:cs="Times New Roman" w:eastAsia="Times New Roman"/>
          <w:b/>
          <w:sz w:val="24"/>
        </w:rPr>
        <w:t>Tabla 9</w:t>
      </w:r>
    </w:p>
    <w:p>
      <w:pPr>
        <w:ind w:firstLine="0"/>
      </w:pPr>
      <w:r>
        <w:rPr>
          <w:rFonts w:ascii="Times New Roman" w:hAnsi="Times New Roman" w:cs="Times New Roman" w:eastAsia="Times New Roman"/>
          <w:i/>
          <w:sz w:val="24"/>
        </w:rPr>
        <w:t>Matriz PESTEL del Entorno Colombiano</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3120"/>
        <w:gridCol w:w="3120"/>
        <w:gridCol w:w="3120"/>
      </w:tblGrid>
      <w:tr>
        <w:tc>
          <w:tcPr>
            <w:tcW w:type="dxa" w:w="113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Factor</w:t>
            </w:r>
          </w:p>
        </w:tc>
        <w:tc>
          <w:tcPr>
            <w:tcW w:type="dxa" w:w="379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Situación actual en Colombia</w:t>
            </w:r>
          </w:p>
        </w:tc>
        <w:tc>
          <w:tcPr>
            <w:tcW w:type="dxa" w:w="385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Impacto sobre el proyecto</w:t>
            </w:r>
          </w:p>
        </w:tc>
      </w:tr>
      <w:tr>
        <w:tc>
          <w:tcPr>
            <w:tcW w:type="dxa" w:w="1134"/>
          </w:tcPr>
          <w:p>
            <w:pPr>
              <w:spacing w:line="240" w:lineRule="auto" w:after="60" w:before="60"/>
              <w:ind w:firstLine="0"/>
              <w:jc w:val="left"/>
            </w:pPr>
            <w:r/>
            <w:r>
              <w:rPr>
                <w:rFonts w:ascii="Times New Roman" w:hAnsi="Times New Roman" w:cs="Times New Roman" w:eastAsia="Times New Roman"/>
                <w:b w:val="0"/>
                <w:sz w:val="20"/>
              </w:rPr>
              <w:t>Político</w:t>
            </w:r>
          </w:p>
        </w:tc>
        <w:tc>
          <w:tcPr>
            <w:tcW w:type="dxa" w:w="3798"/>
          </w:tcPr>
          <w:p>
            <w:pPr>
              <w:spacing w:line="240" w:lineRule="auto" w:after="60" w:before="60"/>
              <w:ind w:firstLine="0"/>
              <w:jc w:val="left"/>
            </w:pPr>
            <w:r/>
            <w:r>
              <w:rPr>
                <w:rFonts w:ascii="Times New Roman" w:hAnsi="Times New Roman" w:cs="Times New Roman" w:eastAsia="Times New Roman"/>
                <w:b w:val="0"/>
                <w:sz w:val="20"/>
              </w:rPr>
              <w:t>Hay una política pública de transformación digital sostenida a través del MinTIC, con programas de conectividad y apoyo a la industria del software. Al mismo tiempo, la volatilidad regulatoria y los ciclos electorales generan incertidumbre sobre la continuidad de esos incentivos.</w:t>
            </w:r>
          </w:p>
        </w:tc>
        <w:tc>
          <w:tcPr>
            <w:tcW w:type="dxa" w:w="3855"/>
          </w:tcPr>
          <w:p>
            <w:pPr>
              <w:spacing w:line="240" w:lineRule="auto" w:after="60" w:before="60"/>
              <w:ind w:firstLine="0"/>
              <w:jc w:val="left"/>
            </w:pPr>
            <w:r/>
            <w:r>
              <w:rPr>
                <w:rFonts w:ascii="Times New Roman" w:hAnsi="Times New Roman" w:cs="Times New Roman" w:eastAsia="Times New Roman"/>
                <w:b w:val="0"/>
                <w:sz w:val="20"/>
              </w:rPr>
              <w:t>OPORTUNIDAD: el impulso estatal a la digitalización favorece la adopción de soluciones locales. AMENAZA: si los programas de apoyo se interrumpen, se caen fuentes de financiación previstas.</w:t>
            </w:r>
          </w:p>
        </w:tc>
      </w:tr>
      <w:tr>
        <w:tc>
          <w:tcPr>
            <w:tcW w:type="dxa" w:w="1134"/>
          </w:tcPr>
          <w:p>
            <w:pPr>
              <w:spacing w:line="240" w:lineRule="auto" w:after="60" w:before="60"/>
              <w:ind w:firstLine="0"/>
              <w:jc w:val="left"/>
            </w:pPr>
            <w:r/>
            <w:r>
              <w:rPr>
                <w:rFonts w:ascii="Times New Roman" w:hAnsi="Times New Roman" w:cs="Times New Roman" w:eastAsia="Times New Roman"/>
                <w:b w:val="0"/>
                <w:sz w:val="20"/>
              </w:rPr>
              <w:t>Económico</w:t>
            </w:r>
          </w:p>
        </w:tc>
        <w:tc>
          <w:tcPr>
            <w:tcW w:type="dxa" w:w="3798"/>
          </w:tcPr>
          <w:p>
            <w:pPr>
              <w:spacing w:line="240" w:lineRule="auto" w:after="60" w:before="60"/>
              <w:ind w:firstLine="0"/>
              <w:jc w:val="left"/>
            </w:pPr>
            <w:r/>
            <w:r>
              <w:rPr>
                <w:rFonts w:ascii="Times New Roman" w:hAnsi="Times New Roman" w:cs="Times New Roman" w:eastAsia="Times New Roman"/>
                <w:b w:val="0"/>
                <w:sz w:val="20"/>
              </w:rPr>
              <w:t>El salario mínimo mensual para 2026 es de $1.750.905, con un salario diario cercano a $58.363 (La FM, 2026). La Encuesta Nacional de Salud Mental señala la inestabilidad económica como la primera fuente de estrés agudo en adultos (Minsalud, 2025), lo que describe a un consumidor sensible al precio en gastos que puede aplazar.</w:t>
            </w:r>
          </w:p>
        </w:tc>
        <w:tc>
          <w:tcPr>
            <w:tcW w:type="dxa" w:w="3855"/>
          </w:tcPr>
          <w:p>
            <w:pPr>
              <w:spacing w:line="240" w:lineRule="auto" w:after="60" w:before="60"/>
              <w:ind w:firstLine="0"/>
              <w:jc w:val="left"/>
            </w:pPr>
            <w:r/>
            <w:r>
              <w:rPr>
                <w:rFonts w:ascii="Times New Roman" w:hAnsi="Times New Roman" w:cs="Times New Roman" w:eastAsia="Times New Roman"/>
                <w:b w:val="0"/>
                <w:sz w:val="20"/>
              </w:rPr>
              <w:t>AMENAZA CRÍTICA: el precio premium actual de USD 9,99 mensuales equivale a cerca de $40.000, más del doble de Todoist Pro, que cuesta USD 5. Frente a un consumidor sensible al precio, ese nivel frena la conversión. OPORTUNIDAD: el valor alto de las multas evitadas permite argumentar retorno económico directo y no solo comodidad.</w:t>
            </w:r>
          </w:p>
        </w:tc>
      </w:tr>
      <w:tr>
        <w:tc>
          <w:tcPr>
            <w:tcW w:type="dxa" w:w="1134"/>
          </w:tcPr>
          <w:p>
            <w:pPr>
              <w:spacing w:line="240" w:lineRule="auto" w:after="60" w:before="60"/>
              <w:ind w:firstLine="0"/>
              <w:jc w:val="left"/>
            </w:pPr>
            <w:r/>
            <w:r>
              <w:rPr>
                <w:rFonts w:ascii="Times New Roman" w:hAnsi="Times New Roman" w:cs="Times New Roman" w:eastAsia="Times New Roman"/>
                <w:b w:val="0"/>
                <w:sz w:val="20"/>
              </w:rPr>
              <w:t>Social</w:t>
            </w:r>
          </w:p>
        </w:tc>
        <w:tc>
          <w:tcPr>
            <w:tcW w:type="dxa" w:w="3798"/>
          </w:tcPr>
          <w:p>
            <w:pPr>
              <w:spacing w:line="240" w:lineRule="auto" w:after="60" w:before="60"/>
              <w:ind w:firstLine="0"/>
              <w:jc w:val="left"/>
            </w:pPr>
            <w:r/>
            <w:r>
              <w:rPr>
                <w:rFonts w:ascii="Times New Roman" w:hAnsi="Times New Roman" w:cs="Times New Roman" w:eastAsia="Times New Roman"/>
                <w:b w:val="0"/>
                <w:sz w:val="20"/>
              </w:rPr>
              <w:t>La prevalencia de trastornos mentales a lo largo de la vida en adultos es del 8,4%. La depresión del último mes se triplicó y la ansiedad generalizada se cuadruplicó frente a 2015 (Minsalud, 2025). Cerca del 34% de los trabajadores se ausenta por condiciones de salud mental (Seguros Sura, 2025). La cultura familiar extensa multiplica los compromisos por persona.</w:t>
            </w:r>
          </w:p>
        </w:tc>
        <w:tc>
          <w:tcPr>
            <w:tcW w:type="dxa" w:w="3855"/>
          </w:tcPr>
          <w:p>
            <w:pPr>
              <w:spacing w:line="240" w:lineRule="auto" w:after="60" w:before="60"/>
              <w:ind w:firstLine="0"/>
              <w:jc w:val="left"/>
            </w:pPr>
            <w:r/>
            <w:r>
              <w:rPr>
                <w:rFonts w:ascii="Times New Roman" w:hAnsi="Times New Roman" w:cs="Times New Roman" w:eastAsia="Times New Roman"/>
                <w:b w:val="0"/>
                <w:sz w:val="20"/>
              </w:rPr>
              <w:t>OPORTUNIDAD: el problema que atiende el proyecto está documentado oficialmente y va en aumento, lo que respalda su pertinencia. AMENAZA: parte del público puede sentir la herramienta como una presión más si las notificaciones no se calibran bien.</w:t>
            </w:r>
          </w:p>
        </w:tc>
      </w:tr>
      <w:tr>
        <w:tc>
          <w:tcPr>
            <w:tcW w:type="dxa" w:w="1134"/>
          </w:tcPr>
          <w:p>
            <w:pPr>
              <w:spacing w:line="240" w:lineRule="auto" w:after="60" w:before="60"/>
              <w:ind w:firstLine="0"/>
              <w:jc w:val="left"/>
            </w:pPr>
            <w:r/>
            <w:r>
              <w:rPr>
                <w:rFonts w:ascii="Times New Roman" w:hAnsi="Times New Roman" w:cs="Times New Roman" w:eastAsia="Times New Roman"/>
                <w:b w:val="0"/>
                <w:sz w:val="20"/>
              </w:rPr>
              <w:t>Tecnológico</w:t>
            </w:r>
          </w:p>
        </w:tc>
        <w:tc>
          <w:tcPr>
            <w:tcW w:type="dxa" w:w="3798"/>
          </w:tcPr>
          <w:p>
            <w:pPr>
              <w:spacing w:line="240" w:lineRule="auto" w:after="60" w:before="60"/>
              <w:ind w:firstLine="0"/>
              <w:jc w:val="left"/>
            </w:pPr>
            <w:r/>
            <w:r>
              <w:rPr>
                <w:rFonts w:ascii="Times New Roman" w:hAnsi="Times New Roman" w:cs="Times New Roman" w:eastAsia="Times New Roman"/>
                <w:b w:val="0"/>
                <w:sz w:val="20"/>
              </w:rPr>
              <w:t>El 73,9% de los hogares tiene acceso a internet (DANE, 2025) y hay cerca de 49,75 millones de accesos móviles (MinTIC, 2025). Las plataformas de backend como servicio están maduras y bajan la inversión inicial. La inteligencia artificial aplicada a productividad avanza rápido.</w:t>
            </w:r>
          </w:p>
        </w:tc>
        <w:tc>
          <w:tcPr>
            <w:tcW w:type="dxa" w:w="3855"/>
          </w:tcPr>
          <w:p>
            <w:pPr>
              <w:spacing w:line="240" w:lineRule="auto" w:after="60" w:before="60"/>
              <w:ind w:firstLine="0"/>
              <w:jc w:val="left"/>
            </w:pPr>
            <w:r/>
            <w:r>
              <w:rPr>
                <w:rFonts w:ascii="Times New Roman" w:hAnsi="Times New Roman" w:cs="Times New Roman" w:eastAsia="Times New Roman"/>
                <w:b w:val="0"/>
                <w:sz w:val="20"/>
              </w:rPr>
              <w:t>OPORTUNIDAD: base de usuarios conectada y sobre todo móvil, con infraestructura barata de entrada. AMENAZA: uno de cada cuatro hogares no tiene acceso fijo, lo que obliga a diseñar para conectividad intermitente. Además, depender de un solo proveedor de backend concentra riesgo.</w:t>
            </w:r>
          </w:p>
        </w:tc>
      </w:tr>
      <w:tr>
        <w:tc>
          <w:tcPr>
            <w:tcW w:type="dxa" w:w="1134"/>
          </w:tcPr>
          <w:p>
            <w:pPr>
              <w:spacing w:line="240" w:lineRule="auto" w:after="60" w:before="60"/>
              <w:ind w:firstLine="0"/>
              <w:jc w:val="left"/>
            </w:pPr>
            <w:r/>
            <w:r>
              <w:rPr>
                <w:rFonts w:ascii="Times New Roman" w:hAnsi="Times New Roman" w:cs="Times New Roman" w:eastAsia="Times New Roman"/>
                <w:b w:val="0"/>
                <w:sz w:val="20"/>
              </w:rPr>
              <w:t>Ambiental</w:t>
            </w:r>
          </w:p>
        </w:tc>
        <w:tc>
          <w:tcPr>
            <w:tcW w:type="dxa" w:w="3798"/>
          </w:tcPr>
          <w:p>
            <w:pPr>
              <w:spacing w:line="240" w:lineRule="auto" w:after="60" w:before="60"/>
              <w:ind w:firstLine="0"/>
              <w:jc w:val="left"/>
            </w:pPr>
            <w:r/>
            <w:r>
              <w:rPr>
                <w:rFonts w:ascii="Times New Roman" w:hAnsi="Times New Roman" w:cs="Times New Roman" w:eastAsia="Times New Roman"/>
                <w:b w:val="0"/>
                <w:sz w:val="20"/>
              </w:rPr>
              <w:t>Crece la presión sobre el consumo energético de los centros de datos y la expectativa social de reportar impacto ambiental. Existe riesgo de interrupción del servicio por eventos climáticos que afecten la infraestructura o la conectividad regional.</w:t>
            </w:r>
          </w:p>
        </w:tc>
        <w:tc>
          <w:tcPr>
            <w:tcW w:type="dxa" w:w="3855"/>
          </w:tcPr>
          <w:p>
            <w:pPr>
              <w:spacing w:line="240" w:lineRule="auto" w:after="60" w:before="60"/>
              <w:ind w:firstLine="0"/>
              <w:jc w:val="left"/>
            </w:pPr>
            <w:r/>
            <w:r>
              <w:rPr>
                <w:rFonts w:ascii="Times New Roman" w:hAnsi="Times New Roman" w:cs="Times New Roman" w:eastAsia="Times New Roman"/>
                <w:b w:val="0"/>
                <w:sz w:val="20"/>
              </w:rPr>
              <w:t>OPORTUNIDAD: quitar papel de las agendas y reducir desplazamientos por trámites son argumentos de sostenibilidad que se pueden verificar. AMENAZA: impacto en reputación si el proveedor de nube no acredita energía renovable.</w:t>
            </w:r>
          </w:p>
        </w:tc>
      </w:tr>
      <w:tr>
        <w:tc>
          <w:tcPr>
            <w:tcW w:type="dxa" w:w="1134"/>
          </w:tcPr>
          <w:p>
            <w:pPr>
              <w:spacing w:line="240" w:lineRule="auto" w:after="60" w:before="60"/>
              <w:ind w:firstLine="0"/>
              <w:jc w:val="left"/>
            </w:pPr>
            <w:r/>
            <w:r>
              <w:rPr>
                <w:rFonts w:ascii="Times New Roman" w:hAnsi="Times New Roman" w:cs="Times New Roman" w:eastAsia="Times New Roman"/>
                <w:b w:val="0"/>
                <w:sz w:val="20"/>
              </w:rPr>
              <w:t>Legal</w:t>
            </w:r>
          </w:p>
        </w:tc>
        <w:tc>
          <w:tcPr>
            <w:tcW w:type="dxa" w:w="3798"/>
          </w:tcPr>
          <w:p>
            <w:pPr>
              <w:spacing w:line="240" w:lineRule="auto" w:after="60" w:before="60"/>
              <w:ind w:firstLine="0"/>
              <w:jc w:val="left"/>
            </w:pPr>
            <w:r/>
            <w:r>
              <w:rPr>
                <w:rFonts w:ascii="Times New Roman" w:hAnsi="Times New Roman" w:cs="Times New Roman" w:eastAsia="Times New Roman"/>
                <w:b w:val="0"/>
                <w:sz w:val="20"/>
              </w:rPr>
              <w:t>Rige el régimen de protección de datos personales de la Ley 1581 de 2012 y el Decreto 1074 de 2015, con registro obligatorio ante la SIC. La Ley 2300 de 2023 regula el contacto no consentido y el Estatuto del Consumidor aplica a la suscripción. Los datos de salud son de categoría especial.</w:t>
            </w:r>
          </w:p>
        </w:tc>
        <w:tc>
          <w:tcPr>
            <w:tcW w:type="dxa" w:w="3855"/>
          </w:tcPr>
          <w:p>
            <w:pPr>
              <w:spacing w:line="240" w:lineRule="auto" w:after="60" w:before="60"/>
              <w:ind w:firstLine="0"/>
              <w:jc w:val="left"/>
            </w:pPr>
            <w:r/>
            <w:r>
              <w:rPr>
                <w:rFonts w:ascii="Times New Roman" w:hAnsi="Times New Roman" w:cs="Times New Roman" w:eastAsia="Times New Roman"/>
                <w:b w:val="0"/>
                <w:sz w:val="20"/>
              </w:rPr>
              <w:t>AMENAZA CRÍTICA: incumplir expone a sanciones de la SIC y compromete la viabilidad. El módulo de salud sube el estándar exigible. OPORTUNIDAD: cumplir de forma rigurosa y visible diferencia frente a aplicaciones extranjeras que no responden ante la autoridad colombiana.</w:t>
            </w:r>
          </w:p>
        </w:tc>
      </w:tr>
    </w:tbl>
    <w:p/>
    <w:p>
      <w:pPr>
        <w:pStyle w:val="Heading2"/>
      </w:pPr>
      <w:r>
        <w:t>Síntesis: los tres factores más críticos</w:t>
      </w:r>
    </w:p>
    <w:p>
      <w:r>
        <w:t>El factor económico, y dentro de él el precio, es el de mayor riesgo inmediato y el único que el equipo controla por completo. Un consumidor sensible al precio, puesto frente a una suscripción que duplica la del líder del mercado, no convierte. La decisión de precio tiene que tomarse con datos de disposición a pagar recogidos en campo y no convirtiendo dólares a pesos. De ahí salen el objetivo específico 7 y la actividad 16 del cronograma.</w:t>
      </w:r>
    </w:p>
    <w:p>
      <w:r>
        <w:t>El factor legal, en concreto la protección de datos, es el de mayor impacto potencial. Una falla de cumplimiento no recorta el margen: acaba con el proyecto. Por eso debe resolverse antes del piloto y no después.</w:t>
      </w:r>
    </w:p>
    <w:p>
      <w:r>
        <w:t>El factor tecnológico, por la conectividad y la dependencia del proveedor, condiciona decisiones de arquitectura que salen caras si se corrigen tarde, como soportar operación intermitente y no atarse a las particularidades de un solo proveedor de backend.</w:t>
      </w:r>
    </w:p>
    <w:p>
      <w:r>
        <w:t>Estos tres factores pasan directo a la matriz de riesgos de la sección 12 como los riesgos 1, 2 y 4.</w:t>
      </w:r>
    </w:p>
    <w:p>
      <w:r>
        <w:br w:type="page"/>
      </w:r>
    </w:p>
    <w:p>
      <w:pPr>
        <w:pStyle w:val="Heading1"/>
      </w:pPr>
      <w:r>
        <w:t>7. Análisis de la competencia</w:t>
      </w:r>
    </w:p>
    <w:p>
      <w:pPr>
        <w:spacing w:before="240"/>
        <w:ind w:firstLine="0"/>
      </w:pPr>
      <w:r>
        <w:rPr>
          <w:rFonts w:ascii="Times New Roman" w:hAnsi="Times New Roman" w:cs="Times New Roman" w:eastAsia="Times New Roman"/>
          <w:b/>
          <w:sz w:val="24"/>
        </w:rPr>
        <w:t>Tabla 10</w:t>
      </w:r>
    </w:p>
    <w:p>
      <w:pPr>
        <w:ind w:firstLine="0"/>
      </w:pPr>
      <w:r>
        <w:rPr>
          <w:rFonts w:ascii="Times New Roman" w:hAnsi="Times New Roman" w:cs="Times New Roman" w:eastAsia="Times New Roman"/>
          <w:i/>
          <w:sz w:val="24"/>
        </w:rPr>
        <w:t>Comparación de Competidores Directos e Indirectos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1560"/>
        <w:gridCol w:w="1560"/>
        <w:gridCol w:w="1560"/>
        <w:gridCol w:w="1560"/>
        <w:gridCol w:w="1560"/>
        <w:gridCol w:w="1560"/>
      </w:tblGrid>
      <w:tr>
        <w:tc>
          <w:tcPr>
            <w:tcW w:type="dxa" w:w="147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Competidor</w:t>
            </w:r>
          </w:p>
        </w:tc>
        <w:tc>
          <w:tcPr>
            <w:tcW w:type="dxa" w:w="170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Precio en 2026</w:t>
            </w:r>
          </w:p>
        </w:tc>
        <w:tc>
          <w:tcPr>
            <w:tcW w:type="dxa" w:w="136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Calidad</w:t>
            </w:r>
          </w:p>
        </w:tc>
        <w:tc>
          <w:tcPr>
            <w:tcW w:type="dxa" w:w="147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Tecnología</w:t>
            </w:r>
          </w:p>
        </w:tc>
        <w:tc>
          <w:tcPr>
            <w:tcW w:type="dxa" w:w="124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Cobertura</w:t>
            </w:r>
          </w:p>
        </w:tc>
        <w:tc>
          <w:tcPr>
            <w:tcW w:type="dxa" w:w="153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Posicionamiento</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Todoist (directo)</w:t>
            </w:r>
          </w:p>
        </w:tc>
        <w:tc>
          <w:tcPr>
            <w:tcW w:type="dxa" w:w="1701"/>
          </w:tcPr>
          <w:p>
            <w:pPr>
              <w:spacing w:line="240" w:lineRule="auto" w:after="60" w:before="60"/>
              <w:ind w:firstLine="0"/>
              <w:jc w:val="left"/>
            </w:pPr>
            <w:r/>
            <w:r>
              <w:rPr>
                <w:rFonts w:ascii="Times New Roman" w:hAnsi="Times New Roman" w:cs="Times New Roman" w:eastAsia="Times New Roman"/>
                <w:b w:val="0"/>
                <w:sz w:val="20"/>
              </w:rPr>
              <w:t>Gratis con 5 proyectos. Pro por USD 5 al mes en plan anual (alfred_, 2026)</w:t>
            </w:r>
          </w:p>
        </w:tc>
        <w:tc>
          <w:tcPr>
            <w:tcW w:type="dxa" w:w="1361"/>
          </w:tcPr>
          <w:p>
            <w:pPr>
              <w:spacing w:line="240" w:lineRule="auto" w:after="60" w:before="60"/>
              <w:ind w:firstLine="0"/>
              <w:jc w:val="left"/>
            </w:pPr>
            <w:r/>
            <w:r>
              <w:rPr>
                <w:rFonts w:ascii="Times New Roman" w:hAnsi="Times New Roman" w:cs="Times New Roman" w:eastAsia="Times New Roman"/>
                <w:b w:val="0"/>
                <w:sz w:val="20"/>
              </w:rPr>
              <w:t>Alta. Producto maduro y estable</w:t>
            </w:r>
          </w:p>
        </w:tc>
        <w:tc>
          <w:tcPr>
            <w:tcW w:type="dxa" w:w="1474"/>
          </w:tcPr>
          <w:p>
            <w:pPr>
              <w:spacing w:line="240" w:lineRule="auto" w:after="60" w:before="60"/>
              <w:ind w:firstLine="0"/>
              <w:jc w:val="left"/>
            </w:pPr>
            <w:r/>
            <w:r>
              <w:rPr>
                <w:rFonts w:ascii="Times New Roman" w:hAnsi="Times New Roman" w:cs="Times New Roman" w:eastAsia="Times New Roman"/>
                <w:b w:val="0"/>
                <w:sz w:val="20"/>
              </w:rPr>
              <w:t>Multiplataforma, captura en lenguaje corriente, API abierta</w:t>
            </w:r>
          </w:p>
        </w:tc>
        <w:tc>
          <w:tcPr>
            <w:tcW w:type="dxa" w:w="1247"/>
          </w:tcPr>
          <w:p>
            <w:pPr>
              <w:spacing w:line="240" w:lineRule="auto" w:after="60" w:before="60"/>
              <w:ind w:firstLine="0"/>
              <w:jc w:val="left"/>
            </w:pPr>
            <w:r/>
            <w:r>
              <w:rPr>
                <w:rFonts w:ascii="Times New Roman" w:hAnsi="Times New Roman" w:cs="Times New Roman" w:eastAsia="Times New Roman"/>
                <w:b w:val="0"/>
                <w:sz w:val="20"/>
              </w:rPr>
              <w:t>Global, con interfaz en español</w:t>
            </w:r>
          </w:p>
        </w:tc>
        <w:tc>
          <w:tcPr>
            <w:tcW w:type="dxa" w:w="1531"/>
          </w:tcPr>
          <w:p>
            <w:pPr>
              <w:spacing w:line="240" w:lineRule="auto" w:after="60" w:before="60"/>
              <w:ind w:firstLine="0"/>
              <w:jc w:val="left"/>
            </w:pPr>
            <w:r/>
            <w:r>
              <w:rPr>
                <w:rFonts w:ascii="Times New Roman" w:hAnsi="Times New Roman" w:cs="Times New Roman" w:eastAsia="Times New Roman"/>
                <w:b w:val="0"/>
                <w:sz w:val="20"/>
              </w:rPr>
              <w:t>Es el estándar de hecho en productividad personal</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TickTick (directo)</w:t>
            </w:r>
          </w:p>
        </w:tc>
        <w:tc>
          <w:tcPr>
            <w:tcW w:type="dxa" w:w="1701"/>
          </w:tcPr>
          <w:p>
            <w:pPr>
              <w:spacing w:line="240" w:lineRule="auto" w:after="60" w:before="60"/>
              <w:ind w:firstLine="0"/>
              <w:jc w:val="left"/>
            </w:pPr>
            <w:r/>
            <w:r>
              <w:rPr>
                <w:rFonts w:ascii="Times New Roman" w:hAnsi="Times New Roman" w:cs="Times New Roman" w:eastAsia="Times New Roman"/>
                <w:b w:val="0"/>
                <w:sz w:val="20"/>
              </w:rPr>
              <w:t>Premium por USD 35,99 al año o USD 3,99 al mes (AIToolPick, 2026)</w:t>
            </w:r>
          </w:p>
        </w:tc>
        <w:tc>
          <w:tcPr>
            <w:tcW w:type="dxa" w:w="1361"/>
          </w:tcPr>
          <w:p>
            <w:pPr>
              <w:spacing w:line="240" w:lineRule="auto" w:after="60" w:before="60"/>
              <w:ind w:firstLine="0"/>
              <w:jc w:val="left"/>
            </w:pPr>
            <w:r/>
            <w:r>
              <w:rPr>
                <w:rFonts w:ascii="Times New Roman" w:hAnsi="Times New Roman" w:cs="Times New Roman" w:eastAsia="Times New Roman"/>
                <w:b w:val="0"/>
                <w:sz w:val="20"/>
              </w:rPr>
              <w:t>Alta. Trae calendario y hábitos en el plan base</w:t>
            </w:r>
          </w:p>
        </w:tc>
        <w:tc>
          <w:tcPr>
            <w:tcW w:type="dxa" w:w="1474"/>
          </w:tcPr>
          <w:p>
            <w:pPr>
              <w:spacing w:line="240" w:lineRule="auto" w:after="60" w:before="60"/>
              <w:ind w:firstLine="0"/>
              <w:jc w:val="left"/>
            </w:pPr>
            <w:r/>
            <w:r>
              <w:rPr>
                <w:rFonts w:ascii="Times New Roman" w:hAnsi="Times New Roman" w:cs="Times New Roman" w:eastAsia="Times New Roman"/>
                <w:b w:val="0"/>
                <w:sz w:val="20"/>
              </w:rPr>
              <w:t>Multiplataforma, con Pomodoro y vista de calendario</w:t>
            </w:r>
          </w:p>
        </w:tc>
        <w:tc>
          <w:tcPr>
            <w:tcW w:type="dxa" w:w="1247"/>
          </w:tcPr>
          <w:p>
            <w:pPr>
              <w:spacing w:line="240" w:lineRule="auto" w:after="60" w:before="60"/>
              <w:ind w:firstLine="0"/>
              <w:jc w:val="left"/>
            </w:pPr>
            <w:r/>
            <w:r>
              <w:rPr>
                <w:rFonts w:ascii="Times New Roman" w:hAnsi="Times New Roman" w:cs="Times New Roman" w:eastAsia="Times New Roman"/>
                <w:b w:val="0"/>
                <w:sz w:val="20"/>
              </w:rPr>
              <w:t>Global</w:t>
            </w:r>
          </w:p>
        </w:tc>
        <w:tc>
          <w:tcPr>
            <w:tcW w:type="dxa" w:w="1531"/>
          </w:tcPr>
          <w:p>
            <w:pPr>
              <w:spacing w:line="240" w:lineRule="auto" w:after="60" w:before="60"/>
              <w:ind w:firstLine="0"/>
              <w:jc w:val="left"/>
            </w:pPr>
            <w:r/>
            <w:r>
              <w:rPr>
                <w:rFonts w:ascii="Times New Roman" w:hAnsi="Times New Roman" w:cs="Times New Roman" w:eastAsia="Times New Roman"/>
                <w:b w:val="0"/>
                <w:sz w:val="20"/>
              </w:rPr>
              <w:t>La alternativa con mejor relación precio valor</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Any.do (directo)</w:t>
            </w:r>
          </w:p>
        </w:tc>
        <w:tc>
          <w:tcPr>
            <w:tcW w:type="dxa" w:w="1701"/>
          </w:tcPr>
          <w:p>
            <w:pPr>
              <w:spacing w:line="240" w:lineRule="auto" w:after="60" w:before="60"/>
              <w:ind w:firstLine="0"/>
              <w:jc w:val="left"/>
            </w:pPr>
            <w:r/>
            <w:r>
              <w:rPr>
                <w:rFonts w:ascii="Times New Roman" w:hAnsi="Times New Roman" w:cs="Times New Roman" w:eastAsia="Times New Roman"/>
                <w:b w:val="0"/>
                <w:sz w:val="20"/>
              </w:rPr>
              <w:t>Freemium con plan premium por suscripción</w:t>
            </w:r>
          </w:p>
        </w:tc>
        <w:tc>
          <w:tcPr>
            <w:tcW w:type="dxa" w:w="1361"/>
          </w:tcPr>
          <w:p>
            <w:pPr>
              <w:spacing w:line="240" w:lineRule="auto" w:after="60" w:before="60"/>
              <w:ind w:firstLine="0"/>
              <w:jc w:val="left"/>
            </w:pPr>
            <w:r/>
            <w:r>
              <w:rPr>
                <w:rFonts w:ascii="Times New Roman" w:hAnsi="Times New Roman" w:cs="Times New Roman" w:eastAsia="Times New Roman"/>
                <w:b w:val="0"/>
                <w:sz w:val="20"/>
              </w:rPr>
              <w:t>Media alta. Fuerte en diseño móvil</w:t>
            </w:r>
          </w:p>
        </w:tc>
        <w:tc>
          <w:tcPr>
            <w:tcW w:type="dxa" w:w="1474"/>
          </w:tcPr>
          <w:p>
            <w:pPr>
              <w:spacing w:line="240" w:lineRule="auto" w:after="60" w:before="60"/>
              <w:ind w:firstLine="0"/>
              <w:jc w:val="left"/>
            </w:pPr>
            <w:r/>
            <w:r>
              <w:rPr>
                <w:rFonts w:ascii="Times New Roman" w:hAnsi="Times New Roman" w:cs="Times New Roman" w:eastAsia="Times New Roman"/>
                <w:b w:val="0"/>
                <w:sz w:val="20"/>
              </w:rPr>
              <w:t>Multiplataforma, con asistente y listas familiares</w:t>
            </w:r>
          </w:p>
        </w:tc>
        <w:tc>
          <w:tcPr>
            <w:tcW w:type="dxa" w:w="1247"/>
          </w:tcPr>
          <w:p>
            <w:pPr>
              <w:spacing w:line="240" w:lineRule="auto" w:after="60" w:before="60"/>
              <w:ind w:firstLine="0"/>
              <w:jc w:val="left"/>
            </w:pPr>
            <w:r/>
            <w:r>
              <w:rPr>
                <w:rFonts w:ascii="Times New Roman" w:hAnsi="Times New Roman" w:cs="Times New Roman" w:eastAsia="Times New Roman"/>
                <w:b w:val="0"/>
                <w:sz w:val="20"/>
              </w:rPr>
              <w:t>Global</w:t>
            </w:r>
          </w:p>
        </w:tc>
        <w:tc>
          <w:tcPr>
            <w:tcW w:type="dxa" w:w="1531"/>
          </w:tcPr>
          <w:p>
            <w:pPr>
              <w:spacing w:line="240" w:lineRule="auto" w:after="60" w:before="60"/>
              <w:ind w:firstLine="0"/>
              <w:jc w:val="left"/>
            </w:pPr>
            <w:r/>
            <w:r>
              <w:rPr>
                <w:rFonts w:ascii="Times New Roman" w:hAnsi="Times New Roman" w:cs="Times New Roman" w:eastAsia="Times New Roman"/>
                <w:b w:val="0"/>
                <w:sz w:val="20"/>
              </w:rPr>
              <w:t>Apuesta por la simplicidad y el uso familiar</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Google Calendar y Keep (indirecto)</w:t>
            </w:r>
          </w:p>
        </w:tc>
        <w:tc>
          <w:tcPr>
            <w:tcW w:type="dxa" w:w="1701"/>
          </w:tcPr>
          <w:p>
            <w:pPr>
              <w:spacing w:line="240" w:lineRule="auto" w:after="60" w:before="60"/>
              <w:ind w:firstLine="0"/>
              <w:jc w:val="left"/>
            </w:pPr>
            <w:r/>
            <w:r>
              <w:rPr>
                <w:rFonts w:ascii="Times New Roman" w:hAnsi="Times New Roman" w:cs="Times New Roman" w:eastAsia="Times New Roman"/>
                <w:b w:val="0"/>
                <w:sz w:val="20"/>
              </w:rPr>
              <w:t>Gratuito</w:t>
            </w:r>
          </w:p>
        </w:tc>
        <w:tc>
          <w:tcPr>
            <w:tcW w:type="dxa" w:w="1361"/>
          </w:tcPr>
          <w:p>
            <w:pPr>
              <w:spacing w:line="240" w:lineRule="auto" w:after="60" w:before="60"/>
              <w:ind w:firstLine="0"/>
              <w:jc w:val="left"/>
            </w:pPr>
            <w:r/>
            <w:r>
              <w:rPr>
                <w:rFonts w:ascii="Times New Roman" w:hAnsi="Times New Roman" w:cs="Times New Roman" w:eastAsia="Times New Roman"/>
                <w:b w:val="0"/>
                <w:sz w:val="20"/>
              </w:rPr>
              <w:t>Alta en fiabilidad, baja en gestión de obligaciones</w:t>
            </w:r>
          </w:p>
        </w:tc>
        <w:tc>
          <w:tcPr>
            <w:tcW w:type="dxa" w:w="1474"/>
          </w:tcPr>
          <w:p>
            <w:pPr>
              <w:spacing w:line="240" w:lineRule="auto" w:after="60" w:before="60"/>
              <w:ind w:firstLine="0"/>
              <w:jc w:val="left"/>
            </w:pPr>
            <w:r/>
            <w:r>
              <w:rPr>
                <w:rFonts w:ascii="Times New Roman" w:hAnsi="Times New Roman" w:cs="Times New Roman" w:eastAsia="Times New Roman"/>
                <w:b w:val="0"/>
                <w:sz w:val="20"/>
              </w:rPr>
              <w:t>Integrado al ecosistema de Google</w:t>
            </w:r>
          </w:p>
        </w:tc>
        <w:tc>
          <w:tcPr>
            <w:tcW w:type="dxa" w:w="1247"/>
          </w:tcPr>
          <w:p>
            <w:pPr>
              <w:spacing w:line="240" w:lineRule="auto" w:after="60" w:before="60"/>
              <w:ind w:firstLine="0"/>
              <w:jc w:val="left"/>
            </w:pPr>
            <w:r/>
            <w:r>
              <w:rPr>
                <w:rFonts w:ascii="Times New Roman" w:hAnsi="Times New Roman" w:cs="Times New Roman" w:eastAsia="Times New Roman"/>
                <w:b w:val="0"/>
                <w:sz w:val="20"/>
              </w:rPr>
              <w:t>Universal, viene instalado en Android</w:t>
            </w:r>
          </w:p>
        </w:tc>
        <w:tc>
          <w:tcPr>
            <w:tcW w:type="dxa" w:w="1531"/>
          </w:tcPr>
          <w:p>
            <w:pPr>
              <w:spacing w:line="240" w:lineRule="auto" w:after="60" w:before="60"/>
              <w:ind w:firstLine="0"/>
              <w:jc w:val="left"/>
            </w:pPr>
            <w:r/>
            <w:r>
              <w:rPr>
                <w:rFonts w:ascii="Times New Roman" w:hAnsi="Times New Roman" w:cs="Times New Roman" w:eastAsia="Times New Roman"/>
                <w:b w:val="0"/>
                <w:sz w:val="20"/>
              </w:rPr>
              <w:t>La opción por defecto, sin costo ni fricción</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Notion (indirecto)</w:t>
            </w:r>
          </w:p>
        </w:tc>
        <w:tc>
          <w:tcPr>
            <w:tcW w:type="dxa" w:w="1701"/>
          </w:tcPr>
          <w:p>
            <w:pPr>
              <w:spacing w:line="240" w:lineRule="auto" w:after="60" w:before="60"/>
              <w:ind w:firstLine="0"/>
              <w:jc w:val="left"/>
            </w:pPr>
            <w:r/>
            <w:r>
              <w:rPr>
                <w:rFonts w:ascii="Times New Roman" w:hAnsi="Times New Roman" w:cs="Times New Roman" w:eastAsia="Times New Roman"/>
                <w:b w:val="0"/>
                <w:sz w:val="20"/>
              </w:rPr>
              <w:t>Freemium, con planes pagos por usuario</w:t>
            </w:r>
          </w:p>
        </w:tc>
        <w:tc>
          <w:tcPr>
            <w:tcW w:type="dxa" w:w="1361"/>
          </w:tcPr>
          <w:p>
            <w:pPr>
              <w:spacing w:line="240" w:lineRule="auto" w:after="60" w:before="60"/>
              <w:ind w:firstLine="0"/>
              <w:jc w:val="left"/>
            </w:pPr>
            <w:r/>
            <w:r>
              <w:rPr>
                <w:rFonts w:ascii="Times New Roman" w:hAnsi="Times New Roman" w:cs="Times New Roman" w:eastAsia="Times New Roman"/>
                <w:b w:val="0"/>
                <w:sz w:val="20"/>
              </w:rPr>
              <w:t>Alta en flexibilidad, pero exige configurarlo</w:t>
            </w:r>
          </w:p>
        </w:tc>
        <w:tc>
          <w:tcPr>
            <w:tcW w:type="dxa" w:w="1474"/>
          </w:tcPr>
          <w:p>
            <w:pPr>
              <w:spacing w:line="240" w:lineRule="auto" w:after="60" w:before="60"/>
              <w:ind w:firstLine="0"/>
              <w:jc w:val="left"/>
            </w:pPr>
            <w:r/>
            <w:r>
              <w:rPr>
                <w:rFonts w:ascii="Times New Roman" w:hAnsi="Times New Roman" w:cs="Times New Roman" w:eastAsia="Times New Roman"/>
                <w:b w:val="0"/>
                <w:sz w:val="20"/>
              </w:rPr>
              <w:t>Espacio de trabajo modular con plantillas de la comunidad</w:t>
            </w:r>
          </w:p>
        </w:tc>
        <w:tc>
          <w:tcPr>
            <w:tcW w:type="dxa" w:w="1247"/>
          </w:tcPr>
          <w:p>
            <w:pPr>
              <w:spacing w:line="240" w:lineRule="auto" w:after="60" w:before="60"/>
              <w:ind w:firstLine="0"/>
              <w:jc w:val="left"/>
            </w:pPr>
            <w:r/>
            <w:r>
              <w:rPr>
                <w:rFonts w:ascii="Times New Roman" w:hAnsi="Times New Roman" w:cs="Times New Roman" w:eastAsia="Times New Roman"/>
                <w:b w:val="0"/>
                <w:sz w:val="20"/>
              </w:rPr>
              <w:t>Global</w:t>
            </w:r>
          </w:p>
        </w:tc>
        <w:tc>
          <w:tcPr>
            <w:tcW w:type="dxa" w:w="1531"/>
          </w:tcPr>
          <w:p>
            <w:pPr>
              <w:spacing w:line="240" w:lineRule="auto" w:after="60" w:before="60"/>
              <w:ind w:firstLine="0"/>
              <w:jc w:val="left"/>
            </w:pPr>
            <w:r/>
            <w:r>
              <w:rPr>
                <w:rFonts w:ascii="Times New Roman" w:hAnsi="Times New Roman" w:cs="Times New Roman" w:eastAsia="Times New Roman"/>
                <w:b w:val="0"/>
                <w:sz w:val="20"/>
              </w:rPr>
              <w:t>Herramienta para usuarios avanzados</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Alivia (este proyecto)</w:t>
            </w:r>
          </w:p>
        </w:tc>
        <w:tc>
          <w:tcPr>
            <w:tcW w:type="dxa" w:w="1701"/>
          </w:tcPr>
          <w:p>
            <w:pPr>
              <w:spacing w:line="240" w:lineRule="auto" w:after="60" w:before="60"/>
              <w:ind w:firstLine="0"/>
              <w:jc w:val="left"/>
            </w:pPr>
            <w:r/>
            <w:r>
              <w:rPr>
                <w:rFonts w:ascii="Times New Roman" w:hAnsi="Times New Roman" w:cs="Times New Roman" w:eastAsia="Times New Roman"/>
                <w:b w:val="0"/>
                <w:sz w:val="20"/>
              </w:rPr>
              <w:t>Freemium. Tres módulos gratis y precio premium por definir en pesos</w:t>
            </w:r>
          </w:p>
        </w:tc>
        <w:tc>
          <w:tcPr>
            <w:tcW w:type="dxa" w:w="1361"/>
          </w:tcPr>
          <w:p>
            <w:pPr>
              <w:spacing w:line="240" w:lineRule="auto" w:after="60" w:before="60"/>
              <w:ind w:firstLine="0"/>
              <w:jc w:val="left"/>
            </w:pPr>
            <w:r/>
            <w:r>
              <w:rPr>
                <w:rFonts w:ascii="Times New Roman" w:hAnsi="Times New Roman" w:cs="Times New Roman" w:eastAsia="Times New Roman"/>
                <w:b w:val="0"/>
                <w:sz w:val="20"/>
              </w:rPr>
              <w:t>Por validar en el piloto</w:t>
            </w:r>
          </w:p>
        </w:tc>
        <w:tc>
          <w:tcPr>
            <w:tcW w:type="dxa" w:w="1474"/>
          </w:tcPr>
          <w:p>
            <w:pPr>
              <w:spacing w:line="240" w:lineRule="auto" w:after="60" w:before="60"/>
              <w:ind w:firstLine="0"/>
              <w:jc w:val="left"/>
            </w:pPr>
            <w:r/>
            <w:r>
              <w:rPr>
                <w:rFonts w:ascii="Times New Roman" w:hAnsi="Times New Roman" w:cs="Times New Roman" w:eastAsia="Times New Roman"/>
                <w:b w:val="0"/>
                <w:sz w:val="20"/>
              </w:rPr>
              <w:t>React y React Native, Node.js, PostgreSQL sobre Supabase</w:t>
            </w:r>
          </w:p>
        </w:tc>
        <w:tc>
          <w:tcPr>
            <w:tcW w:type="dxa" w:w="1247"/>
          </w:tcPr>
          <w:p>
            <w:pPr>
              <w:spacing w:line="240" w:lineRule="auto" w:after="60" w:before="60"/>
              <w:ind w:firstLine="0"/>
              <w:jc w:val="left"/>
            </w:pPr>
            <w:r/>
            <w:r>
              <w:rPr>
                <w:rFonts w:ascii="Times New Roman" w:hAnsi="Times New Roman" w:cs="Times New Roman" w:eastAsia="Times New Roman"/>
                <w:b w:val="0"/>
                <w:sz w:val="20"/>
              </w:rPr>
              <w:t>Colombia</w:t>
            </w:r>
          </w:p>
        </w:tc>
        <w:tc>
          <w:tcPr>
            <w:tcW w:type="dxa" w:w="1531"/>
          </w:tcPr>
          <w:p>
            <w:pPr>
              <w:spacing w:line="240" w:lineRule="auto" w:after="60" w:before="60"/>
              <w:ind w:firstLine="0"/>
              <w:jc w:val="left"/>
            </w:pPr>
            <w:r/>
            <w:r>
              <w:rPr>
                <w:rFonts w:ascii="Times New Roman" w:hAnsi="Times New Roman" w:cs="Times New Roman" w:eastAsia="Times New Roman"/>
                <w:b w:val="0"/>
                <w:sz w:val="20"/>
              </w:rPr>
              <w:t>Obligaciones recurrentes del adulto colombiano, ya precargadas</w:t>
            </w:r>
          </w:p>
        </w:tc>
      </w:tr>
    </w:tbl>
    <w:p/>
    <w:p>
      <w:pPr>
        <w:pStyle w:val="Heading2"/>
      </w:pPr>
      <w:r>
        <w:t>Matriz FODA frente a la competencia</w:t>
      </w:r>
    </w:p>
    <w:p>
      <w:pPr>
        <w:spacing w:before="240"/>
        <w:ind w:firstLine="0"/>
      </w:pPr>
      <w:r>
        <w:rPr>
          <w:rFonts w:ascii="Times New Roman" w:hAnsi="Times New Roman" w:cs="Times New Roman" w:eastAsia="Times New Roman"/>
          <w:b/>
          <w:sz w:val="24"/>
        </w:rPr>
        <w:t>Tabla 11</w:t>
      </w:r>
    </w:p>
    <w:p>
      <w:pPr>
        <w:ind w:firstLine="0"/>
      </w:pPr>
      <w:r>
        <w:rPr>
          <w:rFonts w:ascii="Times New Roman" w:hAnsi="Times New Roman" w:cs="Times New Roman" w:eastAsia="Times New Roman"/>
          <w:i/>
          <w:sz w:val="24"/>
        </w:rPr>
        <w:t>Matriz FODA: Fortalezas y Debilidades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4680"/>
        <w:gridCol w:w="4680"/>
      </w:tblGrid>
      <w:tr>
        <w:tc>
          <w:tcPr>
            <w:tcW w:type="dxa" w:w="436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Fortalezas</w:t>
            </w:r>
          </w:p>
        </w:tc>
        <w:tc>
          <w:tcPr>
            <w:tcW w:type="dxa" w:w="436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Debilidades</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Plantillas precargadas con obligaciones reales del contexto colombiano: SOAT, tecnomecánica, predial, pico y placa. Ningún competidor las ofrece.</w:t>
            </w:r>
          </w:p>
        </w:tc>
        <w:tc>
          <w:tcPr>
            <w:tcW w:type="dxa" w:w="4365"/>
          </w:tcPr>
          <w:p>
            <w:pPr>
              <w:spacing w:line="240" w:lineRule="auto" w:after="60" w:before="60"/>
              <w:ind w:firstLine="0"/>
              <w:jc w:val="left"/>
            </w:pPr>
            <w:r/>
            <w:r>
              <w:rPr>
                <w:rFonts w:ascii="Times New Roman" w:hAnsi="Times New Roman" w:cs="Times New Roman" w:eastAsia="Times New Roman"/>
                <w:b w:val="0"/>
                <w:sz w:val="20"/>
              </w:rPr>
              <w:t>La marca no existe frente a competidores con años de posicionamiento.</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Segmentación explícita por siete áreas de vida, en lugar de listas genéricas.</w:t>
            </w:r>
          </w:p>
        </w:tc>
        <w:tc>
          <w:tcPr>
            <w:tcW w:type="dxa" w:w="4365"/>
          </w:tcPr>
          <w:p>
            <w:pPr>
              <w:spacing w:line="240" w:lineRule="auto" w:after="60" w:before="60"/>
              <w:ind w:firstLine="0"/>
              <w:jc w:val="left"/>
            </w:pPr>
            <w:r/>
            <w:r>
              <w:rPr>
                <w:rFonts w:ascii="Times New Roman" w:hAnsi="Times New Roman" w:cs="Times New Roman" w:eastAsia="Times New Roman"/>
                <w:b w:val="0"/>
                <w:sz w:val="20"/>
              </w:rPr>
              <w:t>No hay integraciones con calendarios ni asistentes de voz.</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Producto pensado en español desde el diseño, no traducido.</w:t>
            </w:r>
          </w:p>
        </w:tc>
        <w:tc>
          <w:tcPr>
            <w:tcW w:type="dxa" w:w="4365"/>
          </w:tcPr>
          <w:p>
            <w:pPr>
              <w:spacing w:line="240" w:lineRule="auto" w:after="60" w:before="60"/>
              <w:ind w:firstLine="0"/>
              <w:jc w:val="left"/>
            </w:pPr>
            <w:r/>
            <w:r>
              <w:rPr>
                <w:rFonts w:ascii="Times New Roman" w:hAnsi="Times New Roman" w:cs="Times New Roman" w:eastAsia="Times New Roman"/>
                <w:b w:val="0"/>
                <w:sz w:val="20"/>
              </w:rPr>
              <w:t>Equipo pequeño, con dedicación parcial y sin capital externo.</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El equipo controla el código fuente y la hoja de ruta.</w:t>
            </w:r>
          </w:p>
        </w:tc>
        <w:tc>
          <w:tcPr>
            <w:tcW w:type="dxa" w:w="4365"/>
          </w:tcPr>
          <w:p>
            <w:pPr>
              <w:spacing w:line="240" w:lineRule="auto" w:after="60" w:before="60"/>
              <w:ind w:firstLine="0"/>
              <w:jc w:val="left"/>
            </w:pPr>
            <w:r/>
            <w:r>
              <w:rPr>
                <w:rFonts w:ascii="Times New Roman" w:hAnsi="Times New Roman" w:cs="Times New Roman" w:eastAsia="Times New Roman"/>
                <w:b w:val="0"/>
                <w:sz w:val="20"/>
              </w:rPr>
              <w:t>El precio premium todavía no está localizado y hoy supera al del líder del mercado.</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El cumplimiento normativo colombiano funciona como argumento de confianza.</w:t>
            </w:r>
          </w:p>
        </w:tc>
        <w:tc>
          <w:tcPr>
            <w:tcW w:type="dxa" w:w="4365"/>
          </w:tcPr>
          <w:p>
            <w:pPr>
              <w:spacing w:line="240" w:lineRule="auto" w:after="60" w:before="60"/>
              <w:ind w:firstLine="0"/>
              <w:jc w:val="left"/>
            </w:pPr>
            <w:r/>
            <w:r>
              <w:rPr>
                <w:rFonts w:ascii="Times New Roman" w:hAnsi="Times New Roman" w:cs="Times New Roman" w:eastAsia="Times New Roman"/>
                <w:b w:val="0"/>
                <w:sz w:val="20"/>
              </w:rPr>
              <w:t>Curar las plantillas exige trabajo manual y tiene costo de mantenimiento permanente.</w:t>
            </w:r>
          </w:p>
        </w:tc>
      </w:tr>
    </w:tbl>
    <w:p/>
    <w:p>
      <w:pPr>
        <w:spacing w:before="240"/>
        <w:ind w:firstLine="0"/>
      </w:pPr>
      <w:r>
        <w:rPr>
          <w:rFonts w:ascii="Times New Roman" w:hAnsi="Times New Roman" w:cs="Times New Roman" w:eastAsia="Times New Roman"/>
          <w:b/>
          <w:sz w:val="24"/>
        </w:rPr>
        <w:t>Tabla 12</w:t>
      </w:r>
    </w:p>
    <w:p>
      <w:pPr>
        <w:ind w:firstLine="0"/>
      </w:pPr>
      <w:r>
        <w:rPr>
          <w:rFonts w:ascii="Times New Roman" w:hAnsi="Times New Roman" w:cs="Times New Roman" w:eastAsia="Times New Roman"/>
          <w:i/>
          <w:sz w:val="24"/>
        </w:rPr>
        <w:t>Matriz FODA: Oportunidades y Amenazas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4680"/>
        <w:gridCol w:w="4680"/>
      </w:tblGrid>
      <w:tr>
        <w:tc>
          <w:tcPr>
            <w:tcW w:type="dxa" w:w="436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Oportunidades</w:t>
            </w:r>
          </w:p>
        </w:tc>
        <w:tc>
          <w:tcPr>
            <w:tcW w:type="dxa" w:w="436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Amenazas</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El segmento de gestión de tareas crece al 15,6% anual (Grand View Research, 2026).</w:t>
            </w:r>
          </w:p>
        </w:tc>
        <w:tc>
          <w:tcPr>
            <w:tcW w:type="dxa" w:w="4365"/>
          </w:tcPr>
          <w:p>
            <w:pPr>
              <w:spacing w:line="240" w:lineRule="auto" w:after="60" w:before="60"/>
              <w:ind w:firstLine="0"/>
              <w:jc w:val="left"/>
            </w:pPr>
            <w:r/>
            <w:r>
              <w:rPr>
                <w:rFonts w:ascii="Times New Roman" w:hAnsi="Times New Roman" w:cs="Times New Roman" w:eastAsia="Times New Roman"/>
                <w:b w:val="0"/>
                <w:sz w:val="20"/>
              </w:rPr>
              <w:t>Un competidor consolidado puede lanzar plantillas locales y borrar el diferenciador.</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Hay un hueco competitivo verificado: ningún actor global cura obligaciones colombianas.</w:t>
            </w:r>
          </w:p>
        </w:tc>
        <w:tc>
          <w:tcPr>
            <w:tcW w:type="dxa" w:w="4365"/>
          </w:tcPr>
          <w:p>
            <w:pPr>
              <w:spacing w:line="240" w:lineRule="auto" w:after="60" w:before="60"/>
              <w:ind w:firstLine="0"/>
              <w:jc w:val="left"/>
            </w:pPr>
            <w:r/>
            <w:r>
              <w:rPr>
                <w:rFonts w:ascii="Times New Roman" w:hAnsi="Times New Roman" w:cs="Times New Roman" w:eastAsia="Times New Roman"/>
                <w:b w:val="0"/>
                <w:sz w:val="20"/>
              </w:rPr>
              <w:t>Google Calendar es gratuito y es la opción por defecto, sin fricción.</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El 73,9% de los hogares está conectado (DANE, 2025).</w:t>
            </w:r>
          </w:p>
        </w:tc>
        <w:tc>
          <w:tcPr>
            <w:tcW w:type="dxa" w:w="4365"/>
          </w:tcPr>
          <w:p>
            <w:pPr>
              <w:spacing w:line="240" w:lineRule="auto" w:after="60" w:before="60"/>
              <w:ind w:firstLine="0"/>
              <w:jc w:val="left"/>
            </w:pPr>
            <w:r/>
            <w:r>
              <w:rPr>
                <w:rFonts w:ascii="Times New Roman" w:hAnsi="Times New Roman" w:cs="Times New Roman" w:eastAsia="Times New Roman"/>
                <w:b w:val="0"/>
                <w:sz w:val="20"/>
              </w:rPr>
              <w:t>La regulación sobre datos personales y contacto a usuarios se está endureciendo.</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El problema social está documentado oficialmente y sigue creciendo.</w:t>
            </w:r>
          </w:p>
        </w:tc>
        <w:tc>
          <w:tcPr>
            <w:tcW w:type="dxa" w:w="4365"/>
          </w:tcPr>
          <w:p>
            <w:pPr>
              <w:spacing w:line="240" w:lineRule="auto" w:after="60" w:before="60"/>
              <w:ind w:firstLine="0"/>
              <w:jc w:val="left"/>
            </w:pPr>
            <w:r/>
            <w:r>
              <w:rPr>
                <w:rFonts w:ascii="Times New Roman" w:hAnsi="Times New Roman" w:cs="Times New Roman" w:eastAsia="Times New Roman"/>
                <w:b w:val="0"/>
                <w:sz w:val="20"/>
              </w:rPr>
              <w:t>El consumidor colombiano es sensible al precio.</w:t>
            </w:r>
          </w:p>
        </w:tc>
      </w:tr>
      <w:tr>
        <w:tc>
          <w:tcPr>
            <w:tcW w:type="dxa" w:w="4365"/>
          </w:tcPr>
          <w:p>
            <w:pPr>
              <w:spacing w:line="240" w:lineRule="auto" w:after="60" w:before="60"/>
              <w:ind w:firstLine="0"/>
              <w:jc w:val="left"/>
            </w:pPr>
            <w:r/>
            <w:r>
              <w:rPr>
                <w:rFonts w:ascii="Times New Roman" w:hAnsi="Times New Roman" w:cs="Times New Roman" w:eastAsia="Times New Roman"/>
                <w:b w:val="0"/>
                <w:sz w:val="20"/>
              </w:rPr>
              <w:t>Existe la posibilidad de integrar más adelante con el RUNT y entidades de trámites.</w:t>
            </w:r>
          </w:p>
        </w:tc>
        <w:tc>
          <w:tcPr>
            <w:tcW w:type="dxa" w:w="4365"/>
          </w:tcPr>
          <w:p>
            <w:pPr>
              <w:spacing w:line="240" w:lineRule="auto" w:after="60" w:before="60"/>
              <w:ind w:firstLine="0"/>
              <w:jc w:val="left"/>
            </w:pPr>
            <w:r/>
            <w:r>
              <w:rPr>
                <w:rFonts w:ascii="Times New Roman" w:hAnsi="Times New Roman" w:cs="Times New Roman" w:eastAsia="Times New Roman"/>
                <w:b w:val="0"/>
                <w:sz w:val="20"/>
              </w:rPr>
              <w:t>Cambiar de aplicación de tareas cuesta muy poco, así que retener es difícil.</w:t>
            </w:r>
          </w:p>
        </w:tc>
      </w:tr>
    </w:tbl>
    <w:p/>
    <w:p>
      <w:pPr>
        <w:pStyle w:val="Heading2"/>
      </w:pPr>
      <w:r>
        <w:t>Cómo se diferencia Alivia</w:t>
      </w:r>
    </w:p>
    <w:p>
      <w:r>
        <w:t>La comparación deja una conclusión incómoda pero útil: en funcionalidad genérica de gestión de tareas, Alivia pierde contra los cinco competidores. Todoist, TickTick y Any.do llevan años puliendo repetición, sincronización e integraciones que este proyecto no va a alcanzar en un semestre, y Google Calendar además es gratis y viene instalado. Competir ahí sería perder.</w:t>
      </w:r>
    </w:p>
    <w:p>
      <w:r>
        <w:t>Lo que sí se puede defender es más estrecho: ninguno de ellos sabe qué debe recordar un adulto colombiano. Todos entregan un contenedor vacío. Alivia entrega el contenido, es decir el catálogo curado de obligaciones con sus ciclos y su fuente normativa, y esa curaduría exige conocer el contexto local más que dominar la tecnología. Un competidor global puede copiarla, pero solo si decide invertir en un mercado que hoy no le interesa.</w:t>
      </w:r>
    </w:p>
    <w:p>
      <w:r>
        <w:t>De ahí salen dos decisiones. La primera es que el valor del producto está en el catálogo de plantillas antes que en el motor de recordatorios, así que la curaduría se debe tratar como una actividad de primer orden y no como carga de datos. La segunda es que el precio debe quedar por debajo del líder, porque el proyecto no puede cobrar más por un producto que hoy hace menos. Esta propuesta de valor se profundiza en el estudio de mercado de la Entrega 2.</w:t>
      </w:r>
    </w:p>
    <w:p>
      <w:r>
        <w:br w:type="page"/>
      </w:r>
    </w:p>
    <w:p>
      <w:pPr>
        <w:pStyle w:val="Heading1"/>
      </w:pPr>
      <w:r>
        <w:t>8. Análisis de los proveedores</w:t>
      </w:r>
    </w:p>
    <w:p>
      <w:r>
        <w:t>Como se trata de un proyecto de software, los insumos críticos no son materias primas sino servicios de infraestructura, plataformas de distribución y servicios profesionales. Para cada insumo crítico se evalúan al menos dos alternativas, de modo que el abastecimiento no dependa de una sola fuente.</w:t>
      </w:r>
    </w:p>
    <w:p>
      <w:pPr>
        <w:pStyle w:val="Heading2"/>
      </w:pPr>
      <w:r>
        <w:t>8.1 Infraestructura de base de datos y backend</w:t>
      </w:r>
    </w:p>
    <w:p>
      <w:pPr>
        <w:spacing w:before="240"/>
        <w:ind w:firstLine="0"/>
      </w:pPr>
      <w:r>
        <w:rPr>
          <w:rFonts w:ascii="Times New Roman" w:hAnsi="Times New Roman" w:cs="Times New Roman" w:eastAsia="Times New Roman"/>
          <w:b/>
          <w:sz w:val="24"/>
        </w:rPr>
        <w:t>Tabla 13</w:t>
      </w:r>
    </w:p>
    <w:p>
      <w:pPr>
        <w:ind w:firstLine="0"/>
      </w:pPr>
      <w:r>
        <w:rPr>
          <w:rFonts w:ascii="Times New Roman" w:hAnsi="Times New Roman" w:cs="Times New Roman" w:eastAsia="Times New Roman"/>
          <w:i/>
          <w:sz w:val="24"/>
        </w:rPr>
        <w:t>Alternativas de Proveedor de Base de Datos y Backend</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1337"/>
        <w:gridCol w:w="1337"/>
        <w:gridCol w:w="1337"/>
        <w:gridCol w:w="1337"/>
        <w:gridCol w:w="1337"/>
        <w:gridCol w:w="1337"/>
        <w:gridCol w:w="1337"/>
      </w:tblGrid>
      <w:tr>
        <w:tc>
          <w:tcPr>
            <w:tcW w:type="dxa" w:w="136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Proveedor</w:t>
            </w:r>
          </w:p>
        </w:tc>
        <w:tc>
          <w:tcPr>
            <w:tcW w:type="dxa" w:w="147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Precio</w:t>
            </w:r>
          </w:p>
        </w:tc>
        <w:tc>
          <w:tcPr>
            <w:tcW w:type="dxa" w:w="147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Calidad</w:t>
            </w:r>
          </w:p>
        </w:tc>
        <w:tc>
          <w:tcPr>
            <w:tcW w:type="dxa" w:w="124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Disponibilidad</w:t>
            </w:r>
          </w:p>
        </w:tc>
        <w:tc>
          <w:tcPr>
            <w:tcW w:type="dxa" w:w="124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Ubicación</w:t>
            </w:r>
          </w:p>
        </w:tc>
        <w:tc>
          <w:tcPr>
            <w:tcW w:type="dxa" w:w="1020"/>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Condiciones de pago</w:t>
            </w:r>
          </w:p>
        </w:tc>
        <w:tc>
          <w:tcPr>
            <w:tcW w:type="dxa" w:w="96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Capacidad de entrega</w:t>
            </w:r>
          </w:p>
        </w:tc>
      </w:tr>
      <w:tr>
        <w:tc>
          <w:tcPr>
            <w:tcW w:type="dxa" w:w="1361"/>
          </w:tcPr>
          <w:p>
            <w:pPr>
              <w:spacing w:line="240" w:lineRule="auto" w:after="60" w:before="60"/>
              <w:ind w:firstLine="0"/>
              <w:jc w:val="left"/>
            </w:pPr>
            <w:r/>
            <w:r>
              <w:rPr>
                <w:rFonts w:ascii="Times New Roman" w:hAnsi="Times New Roman" w:cs="Times New Roman" w:eastAsia="Times New Roman"/>
                <w:b w:val="0"/>
                <w:sz w:val="20"/>
              </w:rPr>
              <w:t>Supabase (seleccionado)</w:t>
            </w:r>
          </w:p>
        </w:tc>
        <w:tc>
          <w:tcPr>
            <w:tcW w:type="dxa" w:w="1474"/>
          </w:tcPr>
          <w:p>
            <w:pPr>
              <w:spacing w:line="240" w:lineRule="auto" w:after="60" w:before="60"/>
              <w:ind w:firstLine="0"/>
              <w:jc w:val="left"/>
            </w:pPr>
            <w:r/>
            <w:r>
              <w:rPr>
                <w:rFonts w:ascii="Times New Roman" w:hAnsi="Times New Roman" w:cs="Times New Roman" w:eastAsia="Times New Roman"/>
                <w:b w:val="0"/>
                <w:sz w:val="20"/>
              </w:rPr>
              <w:t>Nivel gratuito suficiente para el piloto. Plan Pro desde USD 25 al mes</w:t>
            </w:r>
          </w:p>
        </w:tc>
        <w:tc>
          <w:tcPr>
            <w:tcW w:type="dxa" w:w="1474"/>
          </w:tcPr>
          <w:p>
            <w:pPr>
              <w:spacing w:line="240" w:lineRule="auto" w:after="60" w:before="60"/>
              <w:ind w:firstLine="0"/>
              <w:jc w:val="left"/>
            </w:pPr>
            <w:r/>
            <w:r>
              <w:rPr>
                <w:rFonts w:ascii="Times New Roman" w:hAnsi="Times New Roman" w:cs="Times New Roman" w:eastAsia="Times New Roman"/>
                <w:b w:val="0"/>
                <w:sz w:val="20"/>
              </w:rPr>
              <w:t>Alta. PostgreSQL gestionado, autenticación y API automática</w:t>
            </w:r>
          </w:p>
        </w:tc>
        <w:tc>
          <w:tcPr>
            <w:tcW w:type="dxa" w:w="1247"/>
          </w:tcPr>
          <w:p>
            <w:pPr>
              <w:spacing w:line="240" w:lineRule="auto" w:after="60" w:before="60"/>
              <w:ind w:firstLine="0"/>
              <w:jc w:val="left"/>
            </w:pPr>
            <w:r/>
            <w:r>
              <w:rPr>
                <w:rFonts w:ascii="Times New Roman" w:hAnsi="Times New Roman" w:cs="Times New Roman" w:eastAsia="Times New Roman"/>
                <w:b w:val="0"/>
                <w:sz w:val="20"/>
              </w:rPr>
              <w:t>Alta, con acuerdo de nivel de servicio en planes pagos</w:t>
            </w:r>
          </w:p>
        </w:tc>
        <w:tc>
          <w:tcPr>
            <w:tcW w:type="dxa" w:w="1247"/>
          </w:tcPr>
          <w:p>
            <w:pPr>
              <w:spacing w:line="240" w:lineRule="auto" w:after="60" w:before="60"/>
              <w:ind w:firstLine="0"/>
              <w:jc w:val="left"/>
            </w:pPr>
            <w:r/>
            <w:r>
              <w:rPr>
                <w:rFonts w:ascii="Times New Roman" w:hAnsi="Times New Roman" w:cs="Times New Roman" w:eastAsia="Times New Roman"/>
                <w:b w:val="0"/>
                <w:sz w:val="20"/>
              </w:rPr>
              <w:t>Regiones en Estados Unidos y Suramérica (São Paulo)</w:t>
            </w:r>
          </w:p>
        </w:tc>
        <w:tc>
          <w:tcPr>
            <w:tcW w:type="dxa" w:w="1020"/>
          </w:tcPr>
          <w:p>
            <w:pPr>
              <w:spacing w:line="240" w:lineRule="auto" w:after="60" w:before="60"/>
              <w:ind w:firstLine="0"/>
              <w:jc w:val="left"/>
            </w:pPr>
            <w:r/>
            <w:r>
              <w:rPr>
                <w:rFonts w:ascii="Times New Roman" w:hAnsi="Times New Roman" w:cs="Times New Roman" w:eastAsia="Times New Roman"/>
                <w:b w:val="0"/>
                <w:sz w:val="20"/>
              </w:rPr>
              <w:t>Tarjeta internacional, mensual</w:t>
            </w:r>
          </w:p>
        </w:tc>
        <w:tc>
          <w:tcPr>
            <w:tcW w:type="dxa" w:w="964"/>
          </w:tcPr>
          <w:p>
            <w:pPr>
              <w:spacing w:line="240" w:lineRule="auto" w:after="60" w:before="60"/>
              <w:ind w:firstLine="0"/>
              <w:jc w:val="left"/>
            </w:pPr>
            <w:r/>
            <w:r>
              <w:rPr>
                <w:rFonts w:ascii="Times New Roman" w:hAnsi="Times New Roman" w:cs="Times New Roman" w:eastAsia="Times New Roman"/>
                <w:b w:val="0"/>
                <w:sz w:val="20"/>
              </w:rPr>
              <w:t>Aprovisionamiento inmediato</w:t>
            </w:r>
          </w:p>
        </w:tc>
      </w:tr>
      <w:tr>
        <w:tc>
          <w:tcPr>
            <w:tcW w:type="dxa" w:w="1361"/>
          </w:tcPr>
          <w:p>
            <w:pPr>
              <w:spacing w:line="240" w:lineRule="auto" w:after="60" w:before="60"/>
              <w:ind w:firstLine="0"/>
              <w:jc w:val="left"/>
            </w:pPr>
            <w:r/>
            <w:r>
              <w:rPr>
                <w:rFonts w:ascii="Times New Roman" w:hAnsi="Times New Roman" w:cs="Times New Roman" w:eastAsia="Times New Roman"/>
                <w:b w:val="0"/>
                <w:sz w:val="20"/>
              </w:rPr>
              <w:t>Firebase (alternativa)</w:t>
            </w:r>
          </w:p>
        </w:tc>
        <w:tc>
          <w:tcPr>
            <w:tcW w:type="dxa" w:w="1474"/>
          </w:tcPr>
          <w:p>
            <w:pPr>
              <w:spacing w:line="240" w:lineRule="auto" w:after="60" w:before="60"/>
              <w:ind w:firstLine="0"/>
              <w:jc w:val="left"/>
            </w:pPr>
            <w:r/>
            <w:r>
              <w:rPr>
                <w:rFonts w:ascii="Times New Roman" w:hAnsi="Times New Roman" w:cs="Times New Roman" w:eastAsia="Times New Roman"/>
                <w:b w:val="0"/>
                <w:sz w:val="20"/>
              </w:rPr>
              <w:t>Nivel gratuito y luego cobro por consumo</w:t>
            </w:r>
          </w:p>
        </w:tc>
        <w:tc>
          <w:tcPr>
            <w:tcW w:type="dxa" w:w="1474"/>
          </w:tcPr>
          <w:p>
            <w:pPr>
              <w:spacing w:line="240" w:lineRule="auto" w:after="60" w:before="60"/>
              <w:ind w:firstLine="0"/>
              <w:jc w:val="left"/>
            </w:pPr>
            <w:r/>
            <w:r>
              <w:rPr>
                <w:rFonts w:ascii="Times New Roman" w:hAnsi="Times New Roman" w:cs="Times New Roman" w:eastAsia="Times New Roman"/>
                <w:b w:val="0"/>
                <w:sz w:val="20"/>
              </w:rPr>
              <w:t>Alta, pero la base de datos no es relacional</w:t>
            </w:r>
          </w:p>
        </w:tc>
        <w:tc>
          <w:tcPr>
            <w:tcW w:type="dxa" w:w="1247"/>
          </w:tcPr>
          <w:p>
            <w:pPr>
              <w:spacing w:line="240" w:lineRule="auto" w:after="60" w:before="60"/>
              <w:ind w:firstLine="0"/>
              <w:jc w:val="left"/>
            </w:pPr>
            <w:r/>
            <w:r>
              <w:rPr>
                <w:rFonts w:ascii="Times New Roman" w:hAnsi="Times New Roman" w:cs="Times New Roman" w:eastAsia="Times New Roman"/>
                <w:b w:val="0"/>
                <w:sz w:val="20"/>
              </w:rPr>
              <w:t>Muy alta</w:t>
            </w:r>
          </w:p>
        </w:tc>
        <w:tc>
          <w:tcPr>
            <w:tcW w:type="dxa" w:w="1247"/>
          </w:tcPr>
          <w:p>
            <w:pPr>
              <w:spacing w:line="240" w:lineRule="auto" w:after="60" w:before="60"/>
              <w:ind w:firstLine="0"/>
              <w:jc w:val="left"/>
            </w:pPr>
            <w:r/>
            <w:r>
              <w:rPr>
                <w:rFonts w:ascii="Times New Roman" w:hAnsi="Times New Roman" w:cs="Times New Roman" w:eastAsia="Times New Roman"/>
                <w:b w:val="0"/>
                <w:sz w:val="20"/>
              </w:rPr>
              <w:t>Global</w:t>
            </w:r>
          </w:p>
        </w:tc>
        <w:tc>
          <w:tcPr>
            <w:tcW w:type="dxa" w:w="1020"/>
          </w:tcPr>
          <w:p>
            <w:pPr>
              <w:spacing w:line="240" w:lineRule="auto" w:after="60" w:before="60"/>
              <w:ind w:firstLine="0"/>
              <w:jc w:val="left"/>
            </w:pPr>
            <w:r/>
            <w:r>
              <w:rPr>
                <w:rFonts w:ascii="Times New Roman" w:hAnsi="Times New Roman" w:cs="Times New Roman" w:eastAsia="Times New Roman"/>
                <w:b w:val="0"/>
                <w:sz w:val="20"/>
              </w:rPr>
              <w:t>Tarjeta internacional, por consumo</w:t>
            </w:r>
          </w:p>
        </w:tc>
        <w:tc>
          <w:tcPr>
            <w:tcW w:type="dxa" w:w="964"/>
          </w:tcPr>
          <w:p>
            <w:pPr>
              <w:spacing w:line="240" w:lineRule="auto" w:after="60" w:before="60"/>
              <w:ind w:firstLine="0"/>
              <w:jc w:val="left"/>
            </w:pPr>
            <w:r/>
            <w:r>
              <w:rPr>
                <w:rFonts w:ascii="Times New Roman" w:hAnsi="Times New Roman" w:cs="Times New Roman" w:eastAsia="Times New Roman"/>
                <w:b w:val="0"/>
                <w:sz w:val="20"/>
              </w:rPr>
              <w:t>Inmediato</w:t>
            </w:r>
          </w:p>
        </w:tc>
      </w:tr>
      <w:tr>
        <w:tc>
          <w:tcPr>
            <w:tcW w:type="dxa" w:w="1361"/>
          </w:tcPr>
          <w:p>
            <w:pPr>
              <w:spacing w:line="240" w:lineRule="auto" w:after="60" w:before="60"/>
              <w:ind w:firstLine="0"/>
              <w:jc w:val="left"/>
            </w:pPr>
            <w:r/>
            <w:r>
              <w:rPr>
                <w:rFonts w:ascii="Times New Roman" w:hAnsi="Times New Roman" w:cs="Times New Roman" w:eastAsia="Times New Roman"/>
                <w:b w:val="0"/>
                <w:sz w:val="20"/>
              </w:rPr>
              <w:t>Neon o Railway (alternativa)</w:t>
            </w:r>
          </w:p>
        </w:tc>
        <w:tc>
          <w:tcPr>
            <w:tcW w:type="dxa" w:w="1474"/>
          </w:tcPr>
          <w:p>
            <w:pPr>
              <w:spacing w:line="240" w:lineRule="auto" w:after="60" w:before="60"/>
              <w:ind w:firstLine="0"/>
              <w:jc w:val="left"/>
            </w:pPr>
            <w:r/>
            <w:r>
              <w:rPr>
                <w:rFonts w:ascii="Times New Roman" w:hAnsi="Times New Roman" w:cs="Times New Roman" w:eastAsia="Times New Roman"/>
                <w:b w:val="0"/>
                <w:sz w:val="20"/>
              </w:rPr>
              <w:t>Nivel gratuito limitado. Desde USD 5 a 19 al mes</w:t>
            </w:r>
          </w:p>
        </w:tc>
        <w:tc>
          <w:tcPr>
            <w:tcW w:type="dxa" w:w="1474"/>
          </w:tcPr>
          <w:p>
            <w:pPr>
              <w:spacing w:line="240" w:lineRule="auto" w:after="60" w:before="60"/>
              <w:ind w:firstLine="0"/>
              <w:jc w:val="left"/>
            </w:pPr>
            <w:r/>
            <w:r>
              <w:rPr>
                <w:rFonts w:ascii="Times New Roman" w:hAnsi="Times New Roman" w:cs="Times New Roman" w:eastAsia="Times New Roman"/>
                <w:b w:val="0"/>
                <w:sz w:val="20"/>
              </w:rPr>
              <w:t>Alta. PostgreSQL estándar</w:t>
            </w:r>
          </w:p>
        </w:tc>
        <w:tc>
          <w:tcPr>
            <w:tcW w:type="dxa" w:w="1247"/>
          </w:tcPr>
          <w:p>
            <w:pPr>
              <w:spacing w:line="240" w:lineRule="auto" w:after="60" w:before="60"/>
              <w:ind w:firstLine="0"/>
              <w:jc w:val="left"/>
            </w:pPr>
            <w:r/>
            <w:r>
              <w:rPr>
                <w:rFonts w:ascii="Times New Roman" w:hAnsi="Times New Roman" w:cs="Times New Roman" w:eastAsia="Times New Roman"/>
                <w:b w:val="0"/>
                <w:sz w:val="20"/>
              </w:rPr>
              <w:t>Media alta</w:t>
            </w:r>
          </w:p>
        </w:tc>
        <w:tc>
          <w:tcPr>
            <w:tcW w:type="dxa" w:w="1247"/>
          </w:tcPr>
          <w:p>
            <w:pPr>
              <w:spacing w:line="240" w:lineRule="auto" w:after="60" w:before="60"/>
              <w:ind w:firstLine="0"/>
              <w:jc w:val="left"/>
            </w:pPr>
            <w:r/>
            <w:r>
              <w:rPr>
                <w:rFonts w:ascii="Times New Roman" w:hAnsi="Times New Roman" w:cs="Times New Roman" w:eastAsia="Times New Roman"/>
                <w:b w:val="0"/>
                <w:sz w:val="20"/>
              </w:rPr>
              <w:t>Global</w:t>
            </w:r>
          </w:p>
        </w:tc>
        <w:tc>
          <w:tcPr>
            <w:tcW w:type="dxa" w:w="1020"/>
          </w:tcPr>
          <w:p>
            <w:pPr>
              <w:spacing w:line="240" w:lineRule="auto" w:after="60" w:before="60"/>
              <w:ind w:firstLine="0"/>
              <w:jc w:val="left"/>
            </w:pPr>
            <w:r/>
            <w:r>
              <w:rPr>
                <w:rFonts w:ascii="Times New Roman" w:hAnsi="Times New Roman" w:cs="Times New Roman" w:eastAsia="Times New Roman"/>
                <w:b w:val="0"/>
                <w:sz w:val="20"/>
              </w:rPr>
              <w:t>Tarjeta, mensual</w:t>
            </w:r>
          </w:p>
        </w:tc>
        <w:tc>
          <w:tcPr>
            <w:tcW w:type="dxa" w:w="964"/>
          </w:tcPr>
          <w:p>
            <w:pPr>
              <w:spacing w:line="240" w:lineRule="auto" w:after="60" w:before="60"/>
              <w:ind w:firstLine="0"/>
              <w:jc w:val="left"/>
            </w:pPr>
            <w:r/>
            <w:r>
              <w:rPr>
                <w:rFonts w:ascii="Times New Roman" w:hAnsi="Times New Roman" w:cs="Times New Roman" w:eastAsia="Times New Roman"/>
                <w:b w:val="0"/>
                <w:sz w:val="20"/>
              </w:rPr>
              <w:t>Inmediato</w:t>
            </w:r>
          </w:p>
        </w:tc>
      </w:tr>
    </w:tbl>
    <w:p/>
    <w:p>
      <w:r>
        <w:t>Se elige Supabase porque usa PostgreSQL estándar, lo que permite migrar a Neon, a Railway o a un servidor propio sin reescribir el modelo de datos. Firebase se descarta pese a su madurez, porque su modelo no relacional crearía una dependencia difícil de revertir.</w:t>
      </w:r>
    </w:p>
    <w:p>
      <w:pPr>
        <w:pStyle w:val="Heading2"/>
      </w:pPr>
      <w:r>
        <w:t>8.2 Alojamiento de la aplicación web y del backend</w:t>
      </w:r>
    </w:p>
    <w:p>
      <w:pPr>
        <w:spacing w:before="240"/>
        <w:ind w:firstLine="0"/>
      </w:pPr>
      <w:r>
        <w:rPr>
          <w:rFonts w:ascii="Times New Roman" w:hAnsi="Times New Roman" w:cs="Times New Roman" w:eastAsia="Times New Roman"/>
          <w:b/>
          <w:sz w:val="24"/>
        </w:rPr>
        <w:t>Tabla 14</w:t>
      </w:r>
    </w:p>
    <w:p>
      <w:pPr>
        <w:ind w:firstLine="0"/>
      </w:pPr>
      <w:r>
        <w:rPr>
          <w:rFonts w:ascii="Times New Roman" w:hAnsi="Times New Roman" w:cs="Times New Roman" w:eastAsia="Times New Roman"/>
          <w:i/>
          <w:sz w:val="24"/>
        </w:rPr>
        <w:t>Alternativas de Alojamiento de la Aplicación Web y del Backend</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1560"/>
        <w:gridCol w:w="1560"/>
        <w:gridCol w:w="1560"/>
        <w:gridCol w:w="1560"/>
        <w:gridCol w:w="1560"/>
        <w:gridCol w:w="1560"/>
      </w:tblGrid>
      <w:tr>
        <w:tc>
          <w:tcPr>
            <w:tcW w:type="dxa" w:w="170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Proveedor</w:t>
            </w:r>
          </w:p>
        </w:tc>
        <w:tc>
          <w:tcPr>
            <w:tcW w:type="dxa" w:w="170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Precio</w:t>
            </w:r>
          </w:p>
        </w:tc>
        <w:tc>
          <w:tcPr>
            <w:tcW w:type="dxa" w:w="192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Calidad</w:t>
            </w:r>
          </w:p>
        </w:tc>
        <w:tc>
          <w:tcPr>
            <w:tcW w:type="dxa" w:w="113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Disponibilidad</w:t>
            </w:r>
          </w:p>
        </w:tc>
        <w:tc>
          <w:tcPr>
            <w:tcW w:type="dxa" w:w="113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Condiciones de pago</w:t>
            </w:r>
          </w:p>
        </w:tc>
        <w:tc>
          <w:tcPr>
            <w:tcW w:type="dxa" w:w="113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Capacidad de entrega</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Vercel (seleccionado para la web)</w:t>
            </w:r>
          </w:p>
        </w:tc>
        <w:tc>
          <w:tcPr>
            <w:tcW w:type="dxa" w:w="1701"/>
          </w:tcPr>
          <w:p>
            <w:pPr>
              <w:spacing w:line="240" w:lineRule="auto" w:after="60" w:before="60"/>
              <w:ind w:firstLine="0"/>
              <w:jc w:val="left"/>
            </w:pPr>
            <w:r/>
            <w:r>
              <w:rPr>
                <w:rFonts w:ascii="Times New Roman" w:hAnsi="Times New Roman" w:cs="Times New Roman" w:eastAsia="Times New Roman"/>
                <w:b w:val="0"/>
                <w:sz w:val="20"/>
              </w:rPr>
              <w:t>Nivel gratuito para proyectos personales. Pro por USD 20 al mes</w:t>
            </w:r>
          </w:p>
        </w:tc>
        <w:tc>
          <w:tcPr>
            <w:tcW w:type="dxa" w:w="1928"/>
          </w:tcPr>
          <w:p>
            <w:pPr>
              <w:spacing w:line="240" w:lineRule="auto" w:after="60" w:before="60"/>
              <w:ind w:firstLine="0"/>
              <w:jc w:val="left"/>
            </w:pPr>
            <w:r/>
            <w:r>
              <w:rPr>
                <w:rFonts w:ascii="Times New Roman" w:hAnsi="Times New Roman" w:cs="Times New Roman" w:eastAsia="Times New Roman"/>
                <w:b w:val="0"/>
                <w:sz w:val="20"/>
              </w:rPr>
              <w:t>Alta. Red de distribución global y despliegue continuo desde el repositorio</w:t>
            </w:r>
          </w:p>
        </w:tc>
        <w:tc>
          <w:tcPr>
            <w:tcW w:type="dxa" w:w="1134"/>
          </w:tcPr>
          <w:p>
            <w:pPr>
              <w:spacing w:line="240" w:lineRule="auto" w:after="60" w:before="60"/>
              <w:ind w:firstLine="0"/>
              <w:jc w:val="left"/>
            </w:pPr>
            <w:r/>
            <w:r>
              <w:rPr>
                <w:rFonts w:ascii="Times New Roman" w:hAnsi="Times New Roman" w:cs="Times New Roman" w:eastAsia="Times New Roman"/>
                <w:b w:val="0"/>
                <w:sz w:val="20"/>
              </w:rPr>
              <w:t>Alta</w:t>
            </w:r>
          </w:p>
        </w:tc>
        <w:tc>
          <w:tcPr>
            <w:tcW w:type="dxa" w:w="1134"/>
          </w:tcPr>
          <w:p>
            <w:pPr>
              <w:spacing w:line="240" w:lineRule="auto" w:after="60" w:before="60"/>
              <w:ind w:firstLine="0"/>
              <w:jc w:val="left"/>
            </w:pPr>
            <w:r/>
            <w:r>
              <w:rPr>
                <w:rFonts w:ascii="Times New Roman" w:hAnsi="Times New Roman" w:cs="Times New Roman" w:eastAsia="Times New Roman"/>
                <w:b w:val="0"/>
                <w:sz w:val="20"/>
              </w:rPr>
              <w:t>Tarjeta, mensual</w:t>
            </w:r>
          </w:p>
        </w:tc>
        <w:tc>
          <w:tcPr>
            <w:tcW w:type="dxa" w:w="1134"/>
          </w:tcPr>
          <w:p>
            <w:pPr>
              <w:spacing w:line="240" w:lineRule="auto" w:after="60" w:before="60"/>
              <w:ind w:firstLine="0"/>
              <w:jc w:val="left"/>
            </w:pPr>
            <w:r/>
            <w:r>
              <w:rPr>
                <w:rFonts w:ascii="Times New Roman" w:hAnsi="Times New Roman" w:cs="Times New Roman" w:eastAsia="Times New Roman"/>
                <w:b w:val="0"/>
                <w:sz w:val="20"/>
              </w:rPr>
              <w:t>Despliegue en minutos</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Railway (seleccionado para el backend)</w:t>
            </w:r>
          </w:p>
        </w:tc>
        <w:tc>
          <w:tcPr>
            <w:tcW w:type="dxa" w:w="1701"/>
          </w:tcPr>
          <w:p>
            <w:pPr>
              <w:spacing w:line="240" w:lineRule="auto" w:after="60" w:before="60"/>
              <w:ind w:firstLine="0"/>
              <w:jc w:val="left"/>
            </w:pPr>
            <w:r/>
            <w:r>
              <w:rPr>
                <w:rFonts w:ascii="Times New Roman" w:hAnsi="Times New Roman" w:cs="Times New Roman" w:eastAsia="Times New Roman"/>
                <w:b w:val="0"/>
                <w:sz w:val="20"/>
              </w:rPr>
              <w:t>Desde USD 5 al mes por consumo</w:t>
            </w:r>
          </w:p>
        </w:tc>
        <w:tc>
          <w:tcPr>
            <w:tcW w:type="dxa" w:w="1928"/>
          </w:tcPr>
          <w:p>
            <w:pPr>
              <w:spacing w:line="240" w:lineRule="auto" w:after="60" w:before="60"/>
              <w:ind w:firstLine="0"/>
              <w:jc w:val="left"/>
            </w:pPr>
            <w:r/>
            <w:r>
              <w:rPr>
                <w:rFonts w:ascii="Times New Roman" w:hAnsi="Times New Roman" w:cs="Times New Roman" w:eastAsia="Times New Roman"/>
                <w:b w:val="0"/>
                <w:sz w:val="20"/>
              </w:rPr>
              <w:t>Alta para servicios Node.js que corren de forma permanente</w:t>
            </w:r>
          </w:p>
        </w:tc>
        <w:tc>
          <w:tcPr>
            <w:tcW w:type="dxa" w:w="1134"/>
          </w:tcPr>
          <w:p>
            <w:pPr>
              <w:spacing w:line="240" w:lineRule="auto" w:after="60" w:before="60"/>
              <w:ind w:firstLine="0"/>
              <w:jc w:val="left"/>
            </w:pPr>
            <w:r/>
            <w:r>
              <w:rPr>
                <w:rFonts w:ascii="Times New Roman" w:hAnsi="Times New Roman" w:cs="Times New Roman" w:eastAsia="Times New Roman"/>
                <w:b w:val="0"/>
                <w:sz w:val="20"/>
              </w:rPr>
              <w:t>Alta</w:t>
            </w:r>
          </w:p>
        </w:tc>
        <w:tc>
          <w:tcPr>
            <w:tcW w:type="dxa" w:w="1134"/>
          </w:tcPr>
          <w:p>
            <w:pPr>
              <w:spacing w:line="240" w:lineRule="auto" w:after="60" w:before="60"/>
              <w:ind w:firstLine="0"/>
              <w:jc w:val="left"/>
            </w:pPr>
            <w:r/>
            <w:r>
              <w:rPr>
                <w:rFonts w:ascii="Times New Roman" w:hAnsi="Times New Roman" w:cs="Times New Roman" w:eastAsia="Times New Roman"/>
                <w:b w:val="0"/>
                <w:sz w:val="20"/>
              </w:rPr>
              <w:t>Tarjeta, por consumo</w:t>
            </w:r>
          </w:p>
        </w:tc>
        <w:tc>
          <w:tcPr>
            <w:tcW w:type="dxa" w:w="1134"/>
          </w:tcPr>
          <w:p>
            <w:pPr>
              <w:spacing w:line="240" w:lineRule="auto" w:after="60" w:before="60"/>
              <w:ind w:firstLine="0"/>
              <w:jc w:val="left"/>
            </w:pPr>
            <w:r/>
            <w:r>
              <w:rPr>
                <w:rFonts w:ascii="Times New Roman" w:hAnsi="Times New Roman" w:cs="Times New Roman" w:eastAsia="Times New Roman"/>
                <w:b w:val="0"/>
                <w:sz w:val="20"/>
              </w:rPr>
              <w:t>Inmediato</w:t>
            </w:r>
          </w:p>
        </w:tc>
      </w:tr>
      <w:tr>
        <w:tc>
          <w:tcPr>
            <w:tcW w:type="dxa" w:w="1701"/>
          </w:tcPr>
          <w:p>
            <w:pPr>
              <w:spacing w:line="240" w:lineRule="auto" w:after="60" w:before="60"/>
              <w:ind w:firstLine="0"/>
              <w:jc w:val="left"/>
            </w:pPr>
            <w:r/>
            <w:r>
              <w:rPr>
                <w:rFonts w:ascii="Times New Roman" w:hAnsi="Times New Roman" w:cs="Times New Roman" w:eastAsia="Times New Roman"/>
                <w:b w:val="0"/>
                <w:sz w:val="20"/>
              </w:rPr>
              <w:t>Render (alternativa)</w:t>
            </w:r>
          </w:p>
        </w:tc>
        <w:tc>
          <w:tcPr>
            <w:tcW w:type="dxa" w:w="1701"/>
          </w:tcPr>
          <w:p>
            <w:pPr>
              <w:spacing w:line="240" w:lineRule="auto" w:after="60" w:before="60"/>
              <w:ind w:firstLine="0"/>
              <w:jc w:val="left"/>
            </w:pPr>
            <w:r/>
            <w:r>
              <w:rPr>
                <w:rFonts w:ascii="Times New Roman" w:hAnsi="Times New Roman" w:cs="Times New Roman" w:eastAsia="Times New Roman"/>
                <w:b w:val="0"/>
                <w:sz w:val="20"/>
              </w:rPr>
              <w:t>Nivel gratuito que suspende por inactividad. Desde USD 7 al mes</w:t>
            </w:r>
          </w:p>
        </w:tc>
        <w:tc>
          <w:tcPr>
            <w:tcW w:type="dxa" w:w="1928"/>
          </w:tcPr>
          <w:p>
            <w:pPr>
              <w:spacing w:line="240" w:lineRule="auto" w:after="60" w:before="60"/>
              <w:ind w:firstLine="0"/>
              <w:jc w:val="left"/>
            </w:pPr>
            <w:r/>
            <w:r>
              <w:rPr>
                <w:rFonts w:ascii="Times New Roman" w:hAnsi="Times New Roman" w:cs="Times New Roman" w:eastAsia="Times New Roman"/>
                <w:b w:val="0"/>
                <w:sz w:val="20"/>
              </w:rPr>
              <w:t>Media alta</w:t>
            </w:r>
          </w:p>
        </w:tc>
        <w:tc>
          <w:tcPr>
            <w:tcW w:type="dxa" w:w="1134"/>
          </w:tcPr>
          <w:p>
            <w:pPr>
              <w:spacing w:line="240" w:lineRule="auto" w:after="60" w:before="60"/>
              <w:ind w:firstLine="0"/>
              <w:jc w:val="left"/>
            </w:pPr>
            <w:r/>
            <w:r>
              <w:rPr>
                <w:rFonts w:ascii="Times New Roman" w:hAnsi="Times New Roman" w:cs="Times New Roman" w:eastAsia="Times New Roman"/>
                <w:b w:val="0"/>
                <w:sz w:val="20"/>
              </w:rPr>
              <w:t>Media en el nivel gratuito</w:t>
            </w:r>
          </w:p>
        </w:tc>
        <w:tc>
          <w:tcPr>
            <w:tcW w:type="dxa" w:w="1134"/>
          </w:tcPr>
          <w:p>
            <w:pPr>
              <w:spacing w:line="240" w:lineRule="auto" w:after="60" w:before="60"/>
              <w:ind w:firstLine="0"/>
              <w:jc w:val="left"/>
            </w:pPr>
            <w:r/>
            <w:r>
              <w:rPr>
                <w:rFonts w:ascii="Times New Roman" w:hAnsi="Times New Roman" w:cs="Times New Roman" w:eastAsia="Times New Roman"/>
                <w:b w:val="0"/>
                <w:sz w:val="20"/>
              </w:rPr>
              <w:t>Tarjeta, mensual</w:t>
            </w:r>
          </w:p>
        </w:tc>
        <w:tc>
          <w:tcPr>
            <w:tcW w:type="dxa" w:w="1134"/>
          </w:tcPr>
          <w:p>
            <w:pPr>
              <w:spacing w:line="240" w:lineRule="auto" w:after="60" w:before="60"/>
              <w:ind w:firstLine="0"/>
              <w:jc w:val="left"/>
            </w:pPr>
            <w:r/>
            <w:r>
              <w:rPr>
                <w:rFonts w:ascii="Times New Roman" w:hAnsi="Times New Roman" w:cs="Times New Roman" w:eastAsia="Times New Roman"/>
                <w:b w:val="0"/>
                <w:sz w:val="20"/>
              </w:rPr>
              <w:t>Inmediato</w:t>
            </w:r>
          </w:p>
        </w:tc>
      </w:tr>
    </w:tbl>
    <w:p/>
    <w:p>
      <w:r>
        <w:t>Hay una restricción técnica que manda sobre el precio. El servicio de notificaciones programadas necesita un proceso corriendo de forma permanente, así que los niveles gratuitos que suspenden la aplicación por inactividad, como el de Render, no sirven para esa función.</w:t>
      </w:r>
    </w:p>
    <w:p>
      <w:pPr>
        <w:pStyle w:val="Heading2"/>
      </w:pPr>
      <w:r>
        <w:t>8.3 Notificaciones por correo electrónico</w:t>
      </w:r>
    </w:p>
    <w:p>
      <w:pPr>
        <w:spacing w:before="240"/>
        <w:ind w:firstLine="0"/>
      </w:pPr>
      <w:r>
        <w:rPr>
          <w:rFonts w:ascii="Times New Roman" w:hAnsi="Times New Roman" w:cs="Times New Roman" w:eastAsia="Times New Roman"/>
          <w:b/>
          <w:sz w:val="24"/>
        </w:rPr>
        <w:t>Tabla 15</w:t>
      </w:r>
    </w:p>
    <w:p>
      <w:pPr>
        <w:ind w:firstLine="0"/>
      </w:pPr>
      <w:r>
        <w:rPr>
          <w:rFonts w:ascii="Times New Roman" w:hAnsi="Times New Roman" w:cs="Times New Roman" w:eastAsia="Times New Roman"/>
          <w:i/>
          <w:sz w:val="24"/>
        </w:rPr>
        <w:t>Alternativas de Proveedor de Correo Transaccional</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1560"/>
        <w:gridCol w:w="1560"/>
        <w:gridCol w:w="1560"/>
        <w:gridCol w:w="1560"/>
        <w:gridCol w:w="1560"/>
        <w:gridCol w:w="1560"/>
      </w:tblGrid>
      <w:tr>
        <w:tc>
          <w:tcPr>
            <w:tcW w:type="dxa" w:w="147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Proveedor</w:t>
            </w:r>
          </w:p>
        </w:tc>
        <w:tc>
          <w:tcPr>
            <w:tcW w:type="dxa" w:w="158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Precio</w:t>
            </w:r>
          </w:p>
        </w:tc>
        <w:tc>
          <w:tcPr>
            <w:tcW w:type="dxa" w:w="158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Calidad</w:t>
            </w:r>
          </w:p>
        </w:tc>
        <w:tc>
          <w:tcPr>
            <w:tcW w:type="dxa" w:w="1020"/>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Disponibilidad</w:t>
            </w:r>
          </w:p>
        </w:tc>
        <w:tc>
          <w:tcPr>
            <w:tcW w:type="dxa" w:w="113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Condiciones</w:t>
            </w:r>
          </w:p>
        </w:tc>
        <w:tc>
          <w:tcPr>
            <w:tcW w:type="dxa" w:w="192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Cumplimiento normativo</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Resend (seleccionado)</w:t>
            </w:r>
          </w:p>
        </w:tc>
        <w:tc>
          <w:tcPr>
            <w:tcW w:type="dxa" w:w="1587"/>
          </w:tcPr>
          <w:p>
            <w:pPr>
              <w:spacing w:line="240" w:lineRule="auto" w:after="60" w:before="60"/>
              <w:ind w:firstLine="0"/>
              <w:jc w:val="left"/>
            </w:pPr>
            <w:r/>
            <w:r>
              <w:rPr>
                <w:rFonts w:ascii="Times New Roman" w:hAnsi="Times New Roman" w:cs="Times New Roman" w:eastAsia="Times New Roman"/>
                <w:b w:val="0"/>
                <w:sz w:val="20"/>
              </w:rPr>
              <w:t>3.000 correos al mes gratis. Desde USD 20 al mes</w:t>
            </w:r>
          </w:p>
        </w:tc>
        <w:tc>
          <w:tcPr>
            <w:tcW w:type="dxa" w:w="1587"/>
          </w:tcPr>
          <w:p>
            <w:pPr>
              <w:spacing w:line="240" w:lineRule="auto" w:after="60" w:before="60"/>
              <w:ind w:firstLine="0"/>
              <w:jc w:val="left"/>
            </w:pPr>
            <w:r/>
            <w:r>
              <w:rPr>
                <w:rFonts w:ascii="Times New Roman" w:hAnsi="Times New Roman" w:cs="Times New Roman" w:eastAsia="Times New Roman"/>
                <w:b w:val="0"/>
                <w:sz w:val="20"/>
              </w:rPr>
              <w:t>Alta entregabilidad y API sencilla</w:t>
            </w:r>
          </w:p>
        </w:tc>
        <w:tc>
          <w:tcPr>
            <w:tcW w:type="dxa" w:w="1020"/>
          </w:tcPr>
          <w:p>
            <w:pPr>
              <w:spacing w:line="240" w:lineRule="auto" w:after="60" w:before="60"/>
              <w:ind w:firstLine="0"/>
              <w:jc w:val="left"/>
            </w:pPr>
            <w:r/>
            <w:r>
              <w:rPr>
                <w:rFonts w:ascii="Times New Roman" w:hAnsi="Times New Roman" w:cs="Times New Roman" w:eastAsia="Times New Roman"/>
                <w:b w:val="0"/>
                <w:sz w:val="20"/>
              </w:rPr>
              <w:t>Alta</w:t>
            </w:r>
          </w:p>
        </w:tc>
        <w:tc>
          <w:tcPr>
            <w:tcW w:type="dxa" w:w="1134"/>
          </w:tcPr>
          <w:p>
            <w:pPr>
              <w:spacing w:line="240" w:lineRule="auto" w:after="60" w:before="60"/>
              <w:ind w:firstLine="0"/>
              <w:jc w:val="left"/>
            </w:pPr>
            <w:r/>
            <w:r>
              <w:rPr>
                <w:rFonts w:ascii="Times New Roman" w:hAnsi="Times New Roman" w:cs="Times New Roman" w:eastAsia="Times New Roman"/>
                <w:b w:val="0"/>
                <w:sz w:val="20"/>
              </w:rPr>
              <w:t>Tarjeta, mensual</w:t>
            </w:r>
          </w:p>
        </w:tc>
        <w:tc>
          <w:tcPr>
            <w:tcW w:type="dxa" w:w="1928"/>
          </w:tcPr>
          <w:p>
            <w:pPr>
              <w:spacing w:line="240" w:lineRule="auto" w:after="60" w:before="60"/>
              <w:ind w:firstLine="0"/>
              <w:jc w:val="left"/>
            </w:pPr>
            <w:r/>
            <w:r>
              <w:rPr>
                <w:rFonts w:ascii="Times New Roman" w:hAnsi="Times New Roman" w:cs="Times New Roman" w:eastAsia="Times New Roman"/>
                <w:b w:val="0"/>
                <w:sz w:val="20"/>
              </w:rPr>
              <w:t>Permite dar de baja la suscripción y registrar los envíos, que es lo que exige la Ley 2300 de 2023</w:t>
            </w:r>
          </w:p>
        </w:tc>
      </w:tr>
      <w:tr>
        <w:tc>
          <w:tcPr>
            <w:tcW w:type="dxa" w:w="1474"/>
          </w:tcPr>
          <w:p>
            <w:pPr>
              <w:spacing w:line="240" w:lineRule="auto" w:after="60" w:before="60"/>
              <w:ind w:firstLine="0"/>
              <w:jc w:val="left"/>
            </w:pPr>
            <w:r/>
            <w:r>
              <w:rPr>
                <w:rFonts w:ascii="Times New Roman" w:hAnsi="Times New Roman" w:cs="Times New Roman" w:eastAsia="Times New Roman"/>
                <w:b w:val="0"/>
                <w:sz w:val="20"/>
              </w:rPr>
              <w:t>SendGrid (alternativa)</w:t>
            </w:r>
          </w:p>
        </w:tc>
        <w:tc>
          <w:tcPr>
            <w:tcW w:type="dxa" w:w="1587"/>
          </w:tcPr>
          <w:p>
            <w:pPr>
              <w:spacing w:line="240" w:lineRule="auto" w:after="60" w:before="60"/>
              <w:ind w:firstLine="0"/>
              <w:jc w:val="left"/>
            </w:pPr>
            <w:r/>
            <w:r>
              <w:rPr>
                <w:rFonts w:ascii="Times New Roman" w:hAnsi="Times New Roman" w:cs="Times New Roman" w:eastAsia="Times New Roman"/>
                <w:b w:val="0"/>
                <w:sz w:val="20"/>
              </w:rPr>
              <w:t>Nivel gratuito de 100 correos al día</w:t>
            </w:r>
          </w:p>
        </w:tc>
        <w:tc>
          <w:tcPr>
            <w:tcW w:type="dxa" w:w="1587"/>
          </w:tcPr>
          <w:p>
            <w:pPr>
              <w:spacing w:line="240" w:lineRule="auto" w:after="60" w:before="60"/>
              <w:ind w:firstLine="0"/>
              <w:jc w:val="left"/>
            </w:pPr>
            <w:r/>
            <w:r>
              <w:rPr>
                <w:rFonts w:ascii="Times New Roman" w:hAnsi="Times New Roman" w:cs="Times New Roman" w:eastAsia="Times New Roman"/>
                <w:b w:val="0"/>
                <w:sz w:val="20"/>
              </w:rPr>
              <w:t>Alta. Producto maduro</w:t>
            </w:r>
          </w:p>
        </w:tc>
        <w:tc>
          <w:tcPr>
            <w:tcW w:type="dxa" w:w="1020"/>
          </w:tcPr>
          <w:p>
            <w:pPr>
              <w:spacing w:line="240" w:lineRule="auto" w:after="60" w:before="60"/>
              <w:ind w:firstLine="0"/>
              <w:jc w:val="left"/>
            </w:pPr>
            <w:r/>
            <w:r>
              <w:rPr>
                <w:rFonts w:ascii="Times New Roman" w:hAnsi="Times New Roman" w:cs="Times New Roman" w:eastAsia="Times New Roman"/>
                <w:b w:val="0"/>
                <w:sz w:val="20"/>
              </w:rPr>
              <w:t>Muy alta</w:t>
            </w:r>
          </w:p>
        </w:tc>
        <w:tc>
          <w:tcPr>
            <w:tcW w:type="dxa" w:w="1134"/>
          </w:tcPr>
          <w:p>
            <w:pPr>
              <w:spacing w:line="240" w:lineRule="auto" w:after="60" w:before="60"/>
              <w:ind w:firstLine="0"/>
              <w:jc w:val="left"/>
            </w:pPr>
            <w:r/>
            <w:r>
              <w:rPr>
                <w:rFonts w:ascii="Times New Roman" w:hAnsi="Times New Roman" w:cs="Times New Roman" w:eastAsia="Times New Roman"/>
                <w:b w:val="0"/>
                <w:sz w:val="20"/>
              </w:rPr>
              <w:t>Tarjeta, mensual</w:t>
            </w:r>
          </w:p>
        </w:tc>
        <w:tc>
          <w:tcPr>
            <w:tcW w:type="dxa" w:w="1928"/>
          </w:tcPr>
          <w:p>
            <w:pPr>
              <w:spacing w:line="240" w:lineRule="auto" w:after="60" w:before="60"/>
              <w:ind w:firstLine="0"/>
              <w:jc w:val="left"/>
            </w:pPr>
            <w:r/>
            <w:r>
              <w:rPr>
                <w:rFonts w:ascii="Times New Roman" w:hAnsi="Times New Roman" w:cs="Times New Roman" w:eastAsia="Times New Roman"/>
                <w:b w:val="0"/>
                <w:sz w:val="20"/>
              </w:rPr>
              <w:t>Cumple los estándares de consentimiento</w:t>
            </w:r>
          </w:p>
        </w:tc>
      </w:tr>
    </w:tbl>
    <w:p/>
    <w:p>
      <w:pPr>
        <w:pStyle w:val="Heading2"/>
      </w:pPr>
      <w:r>
        <w:t>8.4 Servicios profesionales y trámites</w:t>
      </w:r>
    </w:p>
    <w:p>
      <w:pPr>
        <w:spacing w:before="240"/>
        <w:ind w:firstLine="0"/>
      </w:pPr>
      <w:r>
        <w:rPr>
          <w:rFonts w:ascii="Times New Roman" w:hAnsi="Times New Roman" w:cs="Times New Roman" w:eastAsia="Times New Roman"/>
          <w:b/>
          <w:sz w:val="24"/>
        </w:rPr>
        <w:t>Tabla 16</w:t>
      </w:r>
    </w:p>
    <w:p>
      <w:pPr>
        <w:ind w:firstLine="0"/>
      </w:pPr>
      <w:r>
        <w:rPr>
          <w:rFonts w:ascii="Times New Roman" w:hAnsi="Times New Roman" w:cs="Times New Roman" w:eastAsia="Times New Roman"/>
          <w:i/>
          <w:sz w:val="24"/>
        </w:rPr>
        <w:t>Servicios Profesionales y Trámites Requeridos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1872"/>
        <w:gridCol w:w="1872"/>
        <w:gridCol w:w="1872"/>
        <w:gridCol w:w="1872"/>
        <w:gridCol w:w="1872"/>
      </w:tblGrid>
      <w:tr>
        <w:tc>
          <w:tcPr>
            <w:tcW w:type="dxa" w:w="181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Insumo</w:t>
            </w:r>
          </w:p>
        </w:tc>
        <w:tc>
          <w:tcPr>
            <w:tcW w:type="dxa" w:w="192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Proveedor</w:t>
            </w:r>
          </w:p>
        </w:tc>
        <w:tc>
          <w:tcPr>
            <w:tcW w:type="dxa" w:w="204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Costo aproximado</w:t>
            </w:r>
          </w:p>
        </w:tc>
        <w:tc>
          <w:tcPr>
            <w:tcW w:type="dxa" w:w="113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Disponibilidad</w:t>
            </w:r>
          </w:p>
        </w:tc>
        <w:tc>
          <w:tcPr>
            <w:tcW w:type="dxa" w:w="187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Observación</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Asesoría jurídica en protección de datos</w:t>
            </w:r>
          </w:p>
        </w:tc>
        <w:tc>
          <w:tcPr>
            <w:tcW w:type="dxa" w:w="1928"/>
          </w:tcPr>
          <w:p>
            <w:pPr>
              <w:spacing w:line="240" w:lineRule="auto" w:after="60" w:before="60"/>
              <w:ind w:firstLine="0"/>
              <w:jc w:val="left"/>
            </w:pPr>
            <w:r/>
            <w:r>
              <w:rPr>
                <w:rFonts w:ascii="Times New Roman" w:hAnsi="Times New Roman" w:cs="Times New Roman" w:eastAsia="Times New Roman"/>
                <w:b w:val="0"/>
                <w:sz w:val="20"/>
              </w:rPr>
              <w:t>Consultorio jurídico universitario o firma local</w:t>
            </w:r>
          </w:p>
        </w:tc>
        <w:tc>
          <w:tcPr>
            <w:tcW w:type="dxa" w:w="2041"/>
          </w:tcPr>
          <w:p>
            <w:pPr>
              <w:spacing w:line="240" w:lineRule="auto" w:after="60" w:before="60"/>
              <w:ind w:firstLine="0"/>
              <w:jc w:val="left"/>
            </w:pPr>
            <w:r/>
            <w:r>
              <w:rPr>
                <w:rFonts w:ascii="Times New Roman" w:hAnsi="Times New Roman" w:cs="Times New Roman" w:eastAsia="Times New Roman"/>
                <w:b w:val="0"/>
                <w:sz w:val="20"/>
              </w:rPr>
              <w:t>Desde $0 en el consultorio universitario hasta $1.500.000</w:t>
            </w:r>
          </w:p>
        </w:tc>
        <w:tc>
          <w:tcPr>
            <w:tcW w:type="dxa" w:w="1134"/>
          </w:tcPr>
          <w:p>
            <w:pPr>
              <w:spacing w:line="240" w:lineRule="auto" w:after="60" w:before="60"/>
              <w:ind w:firstLine="0"/>
              <w:jc w:val="left"/>
            </w:pPr>
            <w:r/>
            <w:r>
              <w:rPr>
                <w:rFonts w:ascii="Times New Roman" w:hAnsi="Times New Roman" w:cs="Times New Roman" w:eastAsia="Times New Roman"/>
                <w:b w:val="0"/>
                <w:sz w:val="20"/>
              </w:rPr>
              <w:t>Media</w:t>
            </w:r>
          </w:p>
        </w:tc>
        <w:tc>
          <w:tcPr>
            <w:tcW w:type="dxa" w:w="1871"/>
          </w:tcPr>
          <w:p>
            <w:pPr>
              <w:spacing w:line="240" w:lineRule="auto" w:after="60" w:before="60"/>
              <w:ind w:firstLine="0"/>
              <w:jc w:val="left"/>
            </w:pPr>
            <w:r/>
            <w:r>
              <w:rPr>
                <w:rFonts w:ascii="Times New Roman" w:hAnsi="Times New Roman" w:cs="Times New Roman" w:eastAsia="Times New Roman"/>
                <w:b w:val="0"/>
                <w:sz w:val="20"/>
              </w:rPr>
              <w:t>Se prefiere el consultorio jurídico de la universidad, dado el alcance académico</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Registro de marca</w:t>
            </w:r>
          </w:p>
        </w:tc>
        <w:tc>
          <w:tcPr>
            <w:tcW w:type="dxa" w:w="1928"/>
          </w:tcPr>
          <w:p>
            <w:pPr>
              <w:spacing w:line="240" w:lineRule="auto" w:after="60" w:before="60"/>
              <w:ind w:firstLine="0"/>
              <w:jc w:val="left"/>
            </w:pPr>
            <w:r/>
            <w:r>
              <w:rPr>
                <w:rFonts w:ascii="Times New Roman" w:hAnsi="Times New Roman" w:cs="Times New Roman" w:eastAsia="Times New Roman"/>
                <w:b w:val="0"/>
                <w:sz w:val="20"/>
              </w:rPr>
              <w:t>Superintendencia de Industria y Comercio</w:t>
            </w:r>
          </w:p>
        </w:tc>
        <w:tc>
          <w:tcPr>
            <w:tcW w:type="dxa" w:w="2041"/>
          </w:tcPr>
          <w:p>
            <w:pPr>
              <w:spacing w:line="240" w:lineRule="auto" w:after="60" w:before="60"/>
              <w:ind w:firstLine="0"/>
              <w:jc w:val="left"/>
            </w:pPr>
            <w:r/>
            <w:r>
              <w:rPr>
                <w:rFonts w:ascii="Times New Roman" w:hAnsi="Times New Roman" w:cs="Times New Roman" w:eastAsia="Times New Roman"/>
                <w:b w:val="0"/>
                <w:sz w:val="20"/>
              </w:rPr>
              <w:t>Tarifa oficial vigente por clase</w:t>
            </w:r>
          </w:p>
        </w:tc>
        <w:tc>
          <w:tcPr>
            <w:tcW w:type="dxa" w:w="1134"/>
          </w:tcPr>
          <w:p>
            <w:pPr>
              <w:spacing w:line="240" w:lineRule="auto" w:after="60" w:before="60"/>
              <w:ind w:firstLine="0"/>
              <w:jc w:val="left"/>
            </w:pPr>
            <w:r/>
            <w:r>
              <w:rPr>
                <w:rFonts w:ascii="Times New Roman" w:hAnsi="Times New Roman" w:cs="Times New Roman" w:eastAsia="Times New Roman"/>
                <w:b w:val="0"/>
                <w:sz w:val="20"/>
              </w:rPr>
              <w:t>Alta</w:t>
            </w:r>
          </w:p>
        </w:tc>
        <w:tc>
          <w:tcPr>
            <w:tcW w:type="dxa" w:w="1871"/>
          </w:tcPr>
          <w:p>
            <w:pPr>
              <w:spacing w:line="240" w:lineRule="auto" w:after="60" w:before="60"/>
              <w:ind w:firstLine="0"/>
              <w:jc w:val="left"/>
            </w:pPr>
            <w:r/>
            <w:r>
              <w:rPr>
                <w:rFonts w:ascii="Times New Roman" w:hAnsi="Times New Roman" w:cs="Times New Roman" w:eastAsia="Times New Roman"/>
                <w:b w:val="0"/>
                <w:sz w:val="20"/>
              </w:rPr>
              <w:t>Queda fuera del alcance de esta fase. Se documenta para la Entrega 2</w:t>
            </w:r>
          </w:p>
        </w:tc>
      </w:tr>
      <w:tr>
        <w:tc>
          <w:tcPr>
            <w:tcW w:type="dxa" w:w="1814"/>
          </w:tcPr>
          <w:p>
            <w:pPr>
              <w:spacing w:line="240" w:lineRule="auto" w:after="60" w:before="60"/>
              <w:ind w:firstLine="0"/>
              <w:jc w:val="left"/>
            </w:pPr>
            <w:r/>
            <w:r>
              <w:rPr>
                <w:rFonts w:ascii="Times New Roman" w:hAnsi="Times New Roman" w:cs="Times New Roman" w:eastAsia="Times New Roman"/>
                <w:b w:val="0"/>
                <w:sz w:val="20"/>
              </w:rPr>
              <w:t>Constitución de la sociedad</w:t>
            </w:r>
          </w:p>
        </w:tc>
        <w:tc>
          <w:tcPr>
            <w:tcW w:type="dxa" w:w="1928"/>
          </w:tcPr>
          <w:p>
            <w:pPr>
              <w:spacing w:line="240" w:lineRule="auto" w:after="60" w:before="60"/>
              <w:ind w:firstLine="0"/>
              <w:jc w:val="left"/>
            </w:pPr>
            <w:r/>
            <w:r>
              <w:rPr>
                <w:rFonts w:ascii="Times New Roman" w:hAnsi="Times New Roman" w:cs="Times New Roman" w:eastAsia="Times New Roman"/>
                <w:b w:val="0"/>
                <w:sz w:val="20"/>
              </w:rPr>
              <w:t>Cámara de Comercio</w:t>
            </w:r>
          </w:p>
        </w:tc>
        <w:tc>
          <w:tcPr>
            <w:tcW w:type="dxa" w:w="2041"/>
          </w:tcPr>
          <w:p>
            <w:pPr>
              <w:spacing w:line="240" w:lineRule="auto" w:after="60" w:before="60"/>
              <w:ind w:firstLine="0"/>
              <w:jc w:val="left"/>
            </w:pPr>
            <w:r/>
            <w:r>
              <w:rPr>
                <w:rFonts w:ascii="Times New Roman" w:hAnsi="Times New Roman" w:cs="Times New Roman" w:eastAsia="Times New Roman"/>
                <w:b w:val="0"/>
                <w:sz w:val="20"/>
              </w:rPr>
              <w:t>Inscripción del documento privado: 6 UVB, cerca de $72.660 en 2026 (SNLegal, 2026)</w:t>
            </w:r>
          </w:p>
        </w:tc>
        <w:tc>
          <w:tcPr>
            <w:tcW w:type="dxa" w:w="1134"/>
          </w:tcPr>
          <w:p>
            <w:pPr>
              <w:spacing w:line="240" w:lineRule="auto" w:after="60" w:before="60"/>
              <w:ind w:firstLine="0"/>
              <w:jc w:val="left"/>
            </w:pPr>
            <w:r/>
            <w:r>
              <w:rPr>
                <w:rFonts w:ascii="Times New Roman" w:hAnsi="Times New Roman" w:cs="Times New Roman" w:eastAsia="Times New Roman"/>
                <w:b w:val="0"/>
                <w:sz w:val="20"/>
              </w:rPr>
              <w:t>Alta</w:t>
            </w:r>
          </w:p>
        </w:tc>
        <w:tc>
          <w:tcPr>
            <w:tcW w:type="dxa" w:w="1871"/>
          </w:tcPr>
          <w:p>
            <w:pPr>
              <w:spacing w:line="240" w:lineRule="auto" w:after="60" w:before="60"/>
              <w:ind w:firstLine="0"/>
              <w:jc w:val="left"/>
            </w:pPr>
            <w:r/>
            <w:r>
              <w:rPr>
                <w:rFonts w:ascii="Times New Roman" w:hAnsi="Times New Roman" w:cs="Times New Roman" w:eastAsia="Times New Roman"/>
                <w:b w:val="0"/>
                <w:sz w:val="20"/>
              </w:rPr>
              <w:t>Ver sección 9</w:t>
            </w:r>
          </w:p>
        </w:tc>
      </w:tr>
    </w:tbl>
    <w:p/>
    <w:p>
      <w:pPr>
        <w:pStyle w:val="Heading2"/>
      </w:pPr>
      <w:r>
        <w:t>Conclusión sobre el abastecimiento</w:t>
      </w:r>
    </w:p>
    <w:p>
      <w:r>
        <w:t>En la fase de piloto el abastecimiento es viable y barato. Los niveles gratuitos de Supabase, Vercel y Resend cubren los 50 usuarios previstos, y el gasto recurrente comprometido se limita al alojamiento del backend, entre USD 5 y 20 mensuales. El riesgo que importa no es el precio sino la dependencia: todos los proveedores son extranjeros, se pagan en dólares y facturan con tarjeta internacional, lo que expone el proyecto a la tasa de cambio y a las condiciones de acceso a medios de pago. Para mitigarlo se apuesta por la portabilidad, usando PostgreSQL estándar y evitando funcionalidades propietarias, de manera que cambiar de proveedor sea una decisión de operación y no una reescritura.</w:t>
      </w:r>
    </w:p>
    <w:p>
      <w:r>
        <w:br w:type="page"/>
      </w:r>
    </w:p>
    <w:p>
      <w:pPr>
        <w:pStyle w:val="Heading1"/>
      </w:pPr>
      <w:r>
        <w:t>9. Estudio administrativo y legal</w:t>
      </w:r>
    </w:p>
    <w:p>
      <w:pPr>
        <w:pStyle w:val="Heading2"/>
      </w:pPr>
      <w:r>
        <w:t>Figura jurídica propuesta</w:t>
      </w:r>
    </w:p>
    <w:p>
      <w:r>
        <w:t>Se propone constituir una Sociedad por Acciones Simplificada, S.A.S., al amparo de la Ley 1258 de 2008. La elección responde a tres razones concretas. Se puede constituir por documento privado, sin escritura pública, lo que baja costo y tiempo frente a otras figuras. Admite uno o varios accionistas y permite repartir la participación entre los integrantes del equipo con reglas propias en los estatutos. Y limita la responsabilidad de los socios al monto de sus aportes, algo que pesa en un proyecto que va a tratar datos personales de categoría especial y que por eso queda expuesto a sanciones administrativas. La figura de persona natural comerciante saldría más barata, pero dejaría el patrimonio personal de los integrantes respondiendo por ese riesgo.</w:t>
      </w:r>
    </w:p>
    <w:p>
      <w:pPr>
        <w:pStyle w:val="Heading2"/>
      </w:pPr>
      <w:r>
        <w:t>Requisitos legales, permisos y registros</w:t>
      </w:r>
    </w:p>
    <w:p>
      <w:pPr>
        <w:spacing w:before="240"/>
        <w:ind w:firstLine="0"/>
      </w:pPr>
      <w:r>
        <w:rPr>
          <w:rFonts w:ascii="Times New Roman" w:hAnsi="Times New Roman" w:cs="Times New Roman" w:eastAsia="Times New Roman"/>
          <w:b/>
          <w:sz w:val="24"/>
        </w:rPr>
        <w:t>Tabla 17</w:t>
      </w:r>
    </w:p>
    <w:p>
      <w:pPr>
        <w:ind w:firstLine="0"/>
      </w:pPr>
      <w:r>
        <w:rPr>
          <w:rFonts w:ascii="Times New Roman" w:hAnsi="Times New Roman" w:cs="Times New Roman" w:eastAsia="Times New Roman"/>
          <w:i/>
          <w:sz w:val="24"/>
        </w:rPr>
        <w:t>Requisitos Legales, Permisos y Registros ante Entidades Colombianas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2340"/>
        <w:gridCol w:w="2340"/>
        <w:gridCol w:w="2340"/>
        <w:gridCol w:w="2340"/>
      </w:tblGrid>
      <w:tr>
        <w:tc>
          <w:tcPr>
            <w:tcW w:type="dxa" w:w="255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Trámite o registro</w:t>
            </w:r>
          </w:p>
        </w:tc>
        <w:tc>
          <w:tcPr>
            <w:tcW w:type="dxa" w:w="226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Entidad responsable</w:t>
            </w:r>
          </w:p>
        </w:tc>
        <w:tc>
          <w:tcPr>
            <w:tcW w:type="dxa" w:w="158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Tiempo estimado</w:t>
            </w:r>
          </w:p>
        </w:tc>
        <w:tc>
          <w:tcPr>
            <w:tcW w:type="dxa" w:w="238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Costo aproximado en 2026</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Verificación de homonimia del nombre</w:t>
            </w:r>
          </w:p>
        </w:tc>
        <w:tc>
          <w:tcPr>
            <w:tcW w:type="dxa" w:w="2268"/>
          </w:tcPr>
          <w:p>
            <w:pPr>
              <w:spacing w:line="240" w:lineRule="auto" w:after="60" w:before="60"/>
              <w:ind w:firstLine="0"/>
              <w:jc w:val="left"/>
            </w:pPr>
            <w:r/>
            <w:r>
              <w:rPr>
                <w:rFonts w:ascii="Times New Roman" w:hAnsi="Times New Roman" w:cs="Times New Roman" w:eastAsia="Times New Roman"/>
                <w:b w:val="0"/>
                <w:sz w:val="20"/>
              </w:rPr>
              <w:t>RUES, Cámara de Comercio</w:t>
            </w:r>
          </w:p>
        </w:tc>
        <w:tc>
          <w:tcPr>
            <w:tcW w:type="dxa" w:w="1587"/>
          </w:tcPr>
          <w:p>
            <w:pPr>
              <w:spacing w:line="240" w:lineRule="auto" w:after="60" w:before="60"/>
              <w:ind w:firstLine="0"/>
              <w:jc w:val="left"/>
            </w:pPr>
            <w:r/>
            <w:r>
              <w:rPr>
                <w:rFonts w:ascii="Times New Roman" w:hAnsi="Times New Roman" w:cs="Times New Roman" w:eastAsia="Times New Roman"/>
                <w:b w:val="0"/>
                <w:sz w:val="20"/>
              </w:rPr>
              <w:t>Inmediato</w:t>
            </w:r>
          </w:p>
        </w:tc>
        <w:tc>
          <w:tcPr>
            <w:tcW w:type="dxa" w:w="2381"/>
          </w:tcPr>
          <w:p>
            <w:pPr>
              <w:spacing w:line="240" w:lineRule="auto" w:after="60" w:before="60"/>
              <w:ind w:firstLine="0"/>
              <w:jc w:val="left"/>
            </w:pPr>
            <w:r/>
            <w:r>
              <w:rPr>
                <w:rFonts w:ascii="Times New Roman" w:hAnsi="Times New Roman" w:cs="Times New Roman" w:eastAsia="Times New Roman"/>
                <w:b w:val="0"/>
                <w:sz w:val="20"/>
              </w:rPr>
              <w:t>Sin costo</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Constitución por documento privado e inscripción</w:t>
            </w:r>
          </w:p>
        </w:tc>
        <w:tc>
          <w:tcPr>
            <w:tcW w:type="dxa" w:w="2268"/>
          </w:tcPr>
          <w:p>
            <w:pPr>
              <w:spacing w:line="240" w:lineRule="auto" w:after="60" w:before="60"/>
              <w:ind w:firstLine="0"/>
              <w:jc w:val="left"/>
            </w:pPr>
            <w:r/>
            <w:r>
              <w:rPr>
                <w:rFonts w:ascii="Times New Roman" w:hAnsi="Times New Roman" w:cs="Times New Roman" w:eastAsia="Times New Roman"/>
                <w:b w:val="0"/>
                <w:sz w:val="20"/>
              </w:rPr>
              <w:t>Cámara de Comercio</w:t>
            </w:r>
          </w:p>
        </w:tc>
        <w:tc>
          <w:tcPr>
            <w:tcW w:type="dxa" w:w="1587"/>
          </w:tcPr>
          <w:p>
            <w:pPr>
              <w:spacing w:line="240" w:lineRule="auto" w:after="60" w:before="60"/>
              <w:ind w:firstLine="0"/>
              <w:jc w:val="left"/>
            </w:pPr>
            <w:r/>
            <w:r>
              <w:rPr>
                <w:rFonts w:ascii="Times New Roman" w:hAnsi="Times New Roman" w:cs="Times New Roman" w:eastAsia="Times New Roman"/>
                <w:b w:val="0"/>
                <w:sz w:val="20"/>
              </w:rPr>
              <w:t>1 a 3 días hábiles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6 UVB, cerca de $72.660 (SNLegal, 2026)</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Matrícula mercantil y derechos de registro</w:t>
            </w:r>
          </w:p>
        </w:tc>
        <w:tc>
          <w:tcPr>
            <w:tcW w:type="dxa" w:w="2268"/>
          </w:tcPr>
          <w:p>
            <w:pPr>
              <w:spacing w:line="240" w:lineRule="auto" w:after="60" w:before="60"/>
              <w:ind w:firstLine="0"/>
              <w:jc w:val="left"/>
            </w:pPr>
            <w:r/>
            <w:r>
              <w:rPr>
                <w:rFonts w:ascii="Times New Roman" w:hAnsi="Times New Roman" w:cs="Times New Roman" w:eastAsia="Times New Roman"/>
                <w:b w:val="0"/>
                <w:sz w:val="20"/>
              </w:rPr>
              <w:t>Cámara de Comercio</w:t>
            </w:r>
          </w:p>
        </w:tc>
        <w:tc>
          <w:tcPr>
            <w:tcW w:type="dxa" w:w="1587"/>
          </w:tcPr>
          <w:p>
            <w:pPr>
              <w:spacing w:line="240" w:lineRule="auto" w:after="60" w:before="60"/>
              <w:ind w:firstLine="0"/>
              <w:jc w:val="left"/>
            </w:pPr>
            <w:r/>
            <w:r>
              <w:rPr>
                <w:rFonts w:ascii="Times New Roman" w:hAnsi="Times New Roman" w:cs="Times New Roman" w:eastAsia="Times New Roman"/>
                <w:b w:val="0"/>
                <w:sz w:val="20"/>
              </w:rPr>
              <w:t>1 a 3 días hábiles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Entre $200.000 y $1.500.000 según capital y activos declarados (Buk, 2026)</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Impuesto de registro</w:t>
            </w:r>
          </w:p>
        </w:tc>
        <w:tc>
          <w:tcPr>
            <w:tcW w:type="dxa" w:w="2268"/>
          </w:tcPr>
          <w:p>
            <w:pPr>
              <w:spacing w:line="240" w:lineRule="auto" w:after="60" w:before="60"/>
              <w:ind w:firstLine="0"/>
              <w:jc w:val="left"/>
            </w:pPr>
            <w:r/>
            <w:r>
              <w:rPr>
                <w:rFonts w:ascii="Times New Roman" w:hAnsi="Times New Roman" w:cs="Times New Roman" w:eastAsia="Times New Roman"/>
                <w:b w:val="0"/>
                <w:sz w:val="20"/>
              </w:rPr>
              <w:t>Gobernación y Cámara de Comercio</w:t>
            </w:r>
          </w:p>
        </w:tc>
        <w:tc>
          <w:tcPr>
            <w:tcW w:type="dxa" w:w="1587"/>
          </w:tcPr>
          <w:p>
            <w:pPr>
              <w:spacing w:line="240" w:lineRule="auto" w:after="60" w:before="60"/>
              <w:ind w:firstLine="0"/>
              <w:jc w:val="left"/>
            </w:pPr>
            <w:r/>
            <w:r>
              <w:rPr>
                <w:rFonts w:ascii="Times New Roman" w:hAnsi="Times New Roman" w:cs="Times New Roman" w:eastAsia="Times New Roman"/>
                <w:b w:val="0"/>
                <w:sz w:val="20"/>
              </w:rPr>
              <w:t>Simultáneo</w:t>
            </w:r>
          </w:p>
        </w:tc>
        <w:tc>
          <w:tcPr>
            <w:tcW w:type="dxa" w:w="2381"/>
          </w:tcPr>
          <w:p>
            <w:pPr>
              <w:spacing w:line="240" w:lineRule="auto" w:after="60" w:before="60"/>
              <w:ind w:firstLine="0"/>
              <w:jc w:val="left"/>
            </w:pPr>
            <w:r/>
            <w:r>
              <w:rPr>
                <w:rFonts w:ascii="Times New Roman" w:hAnsi="Times New Roman" w:cs="Times New Roman" w:eastAsia="Times New Roman"/>
                <w:b w:val="0"/>
                <w:sz w:val="20"/>
              </w:rPr>
              <w:t>Porcentaje del capital suscrito</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Inscripción en el RUT y asignación de NIT</w:t>
            </w:r>
          </w:p>
        </w:tc>
        <w:tc>
          <w:tcPr>
            <w:tcW w:type="dxa" w:w="2268"/>
          </w:tcPr>
          <w:p>
            <w:pPr>
              <w:spacing w:line="240" w:lineRule="auto" w:after="60" w:before="60"/>
              <w:ind w:firstLine="0"/>
              <w:jc w:val="left"/>
            </w:pPr>
            <w:r/>
            <w:r>
              <w:rPr>
                <w:rFonts w:ascii="Times New Roman" w:hAnsi="Times New Roman" w:cs="Times New Roman" w:eastAsia="Times New Roman"/>
                <w:b w:val="0"/>
                <w:sz w:val="20"/>
              </w:rPr>
              <w:t>DIAN</w:t>
            </w:r>
          </w:p>
        </w:tc>
        <w:tc>
          <w:tcPr>
            <w:tcW w:type="dxa" w:w="1587"/>
          </w:tcPr>
          <w:p>
            <w:pPr>
              <w:spacing w:line="240" w:lineRule="auto" w:after="60" w:before="60"/>
              <w:ind w:firstLine="0"/>
              <w:jc w:val="left"/>
            </w:pPr>
            <w:r/>
            <w:r>
              <w:rPr>
                <w:rFonts w:ascii="Times New Roman" w:hAnsi="Times New Roman" w:cs="Times New Roman" w:eastAsia="Times New Roman"/>
                <w:b w:val="0"/>
                <w:sz w:val="20"/>
              </w:rPr>
              <w:t>1 día hábil</w:t>
            </w:r>
          </w:p>
        </w:tc>
        <w:tc>
          <w:tcPr>
            <w:tcW w:type="dxa" w:w="2381"/>
          </w:tcPr>
          <w:p>
            <w:pPr>
              <w:spacing w:line="240" w:lineRule="auto" w:after="60" w:before="60"/>
              <w:ind w:firstLine="0"/>
              <w:jc w:val="left"/>
            </w:pPr>
            <w:r/>
            <w:r>
              <w:rPr>
                <w:rFonts w:ascii="Times New Roman" w:hAnsi="Times New Roman" w:cs="Times New Roman" w:eastAsia="Times New Roman"/>
                <w:b w:val="0"/>
                <w:sz w:val="20"/>
              </w:rPr>
              <w:t>Sin costo (DIAN, 2026)</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Habilitación de facturación electrónica</w:t>
            </w:r>
          </w:p>
        </w:tc>
        <w:tc>
          <w:tcPr>
            <w:tcW w:type="dxa" w:w="2268"/>
          </w:tcPr>
          <w:p>
            <w:pPr>
              <w:spacing w:line="240" w:lineRule="auto" w:after="60" w:before="60"/>
              <w:ind w:firstLine="0"/>
              <w:jc w:val="left"/>
            </w:pPr>
            <w:r/>
            <w:r>
              <w:rPr>
                <w:rFonts w:ascii="Times New Roman" w:hAnsi="Times New Roman" w:cs="Times New Roman" w:eastAsia="Times New Roman"/>
                <w:b w:val="0"/>
                <w:sz w:val="20"/>
              </w:rPr>
              <w:t>DIAN</w:t>
            </w:r>
          </w:p>
        </w:tc>
        <w:tc>
          <w:tcPr>
            <w:tcW w:type="dxa" w:w="1587"/>
          </w:tcPr>
          <w:p>
            <w:pPr>
              <w:spacing w:line="240" w:lineRule="auto" w:after="60" w:before="60"/>
              <w:ind w:firstLine="0"/>
              <w:jc w:val="left"/>
            </w:pPr>
            <w:r/>
            <w:r>
              <w:rPr>
                <w:rFonts w:ascii="Times New Roman" w:hAnsi="Times New Roman" w:cs="Times New Roman" w:eastAsia="Times New Roman"/>
                <w:b w:val="0"/>
                <w:sz w:val="20"/>
              </w:rPr>
              <w:t>3 a 5 días hábiles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Sin costo. El proveedor tecnológico es opcional</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Política de tratamiento de datos personales</w:t>
            </w:r>
          </w:p>
        </w:tc>
        <w:tc>
          <w:tcPr>
            <w:tcW w:type="dxa" w:w="2268"/>
          </w:tcPr>
          <w:p>
            <w:pPr>
              <w:spacing w:line="240" w:lineRule="auto" w:after="60" w:before="60"/>
              <w:ind w:firstLine="0"/>
              <w:jc w:val="left"/>
            </w:pPr>
            <w:r/>
            <w:r>
              <w:rPr>
                <w:rFonts w:ascii="Times New Roman" w:hAnsi="Times New Roman" w:cs="Times New Roman" w:eastAsia="Times New Roman"/>
                <w:b w:val="0"/>
                <w:sz w:val="20"/>
              </w:rPr>
              <w:t>Elaboración interna, Ley 1581 de 2012</w:t>
            </w:r>
          </w:p>
        </w:tc>
        <w:tc>
          <w:tcPr>
            <w:tcW w:type="dxa" w:w="1587"/>
          </w:tcPr>
          <w:p>
            <w:pPr>
              <w:spacing w:line="240" w:lineRule="auto" w:after="60" w:before="60"/>
              <w:ind w:firstLine="0"/>
              <w:jc w:val="left"/>
            </w:pPr>
            <w:r/>
            <w:r>
              <w:rPr>
                <w:rFonts w:ascii="Times New Roman" w:hAnsi="Times New Roman" w:cs="Times New Roman" w:eastAsia="Times New Roman"/>
                <w:b w:val="0"/>
                <w:sz w:val="20"/>
              </w:rPr>
              <w:t>5 días hábiles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Costo de asesoría</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Registro de bases de datos en el RNBD</w:t>
            </w:r>
          </w:p>
        </w:tc>
        <w:tc>
          <w:tcPr>
            <w:tcW w:type="dxa" w:w="2268"/>
          </w:tcPr>
          <w:p>
            <w:pPr>
              <w:spacing w:line="240" w:lineRule="auto" w:after="60" w:before="60"/>
              <w:ind w:firstLine="0"/>
              <w:jc w:val="left"/>
            </w:pPr>
            <w:r/>
            <w:r>
              <w:rPr>
                <w:rFonts w:ascii="Times New Roman" w:hAnsi="Times New Roman" w:cs="Times New Roman" w:eastAsia="Times New Roman"/>
                <w:b w:val="0"/>
                <w:sz w:val="20"/>
              </w:rPr>
              <w:t>Superintendencia de Industria y Comercio</w:t>
            </w:r>
          </w:p>
        </w:tc>
        <w:tc>
          <w:tcPr>
            <w:tcW w:type="dxa" w:w="1587"/>
          </w:tcPr>
          <w:p>
            <w:pPr>
              <w:spacing w:line="240" w:lineRule="auto" w:after="60" w:before="60"/>
              <w:ind w:firstLine="0"/>
              <w:jc w:val="left"/>
            </w:pPr>
            <w:r/>
            <w:r>
              <w:rPr>
                <w:rFonts w:ascii="Times New Roman" w:hAnsi="Times New Roman" w:cs="Times New Roman" w:eastAsia="Times New Roman"/>
                <w:b w:val="0"/>
                <w:sz w:val="20"/>
              </w:rPr>
              <w:t>1 a 2 días hábiles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Sin costo</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Términos y condiciones del servicio</w:t>
            </w:r>
          </w:p>
        </w:tc>
        <w:tc>
          <w:tcPr>
            <w:tcW w:type="dxa" w:w="2268"/>
          </w:tcPr>
          <w:p>
            <w:pPr>
              <w:spacing w:line="240" w:lineRule="auto" w:after="60" w:before="60"/>
              <w:ind w:firstLine="0"/>
              <w:jc w:val="left"/>
            </w:pPr>
            <w:r/>
            <w:r>
              <w:rPr>
                <w:rFonts w:ascii="Times New Roman" w:hAnsi="Times New Roman" w:cs="Times New Roman" w:eastAsia="Times New Roman"/>
                <w:b w:val="0"/>
                <w:sz w:val="20"/>
              </w:rPr>
              <w:t>Elaboración interna, Ley 1480 de 2011</w:t>
            </w:r>
          </w:p>
        </w:tc>
        <w:tc>
          <w:tcPr>
            <w:tcW w:type="dxa" w:w="1587"/>
          </w:tcPr>
          <w:p>
            <w:pPr>
              <w:spacing w:line="240" w:lineRule="auto" w:after="60" w:before="60"/>
              <w:ind w:firstLine="0"/>
              <w:jc w:val="left"/>
            </w:pPr>
            <w:r/>
            <w:r>
              <w:rPr>
                <w:rFonts w:ascii="Times New Roman" w:hAnsi="Times New Roman" w:cs="Times New Roman" w:eastAsia="Times New Roman"/>
                <w:b w:val="0"/>
                <w:sz w:val="20"/>
              </w:rPr>
              <w:t>3 días hábiles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Costo de asesoría</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Registro de marca en clases 9 y 42</w:t>
            </w:r>
          </w:p>
        </w:tc>
        <w:tc>
          <w:tcPr>
            <w:tcW w:type="dxa" w:w="2268"/>
          </w:tcPr>
          <w:p>
            <w:pPr>
              <w:spacing w:line="240" w:lineRule="auto" w:after="60" w:before="60"/>
              <w:ind w:firstLine="0"/>
              <w:jc w:val="left"/>
            </w:pPr>
            <w:r/>
            <w:r>
              <w:rPr>
                <w:rFonts w:ascii="Times New Roman" w:hAnsi="Times New Roman" w:cs="Times New Roman" w:eastAsia="Times New Roman"/>
                <w:b w:val="0"/>
                <w:sz w:val="20"/>
              </w:rPr>
              <w:t>Superintendencia de Industria y Comercio</w:t>
            </w:r>
          </w:p>
        </w:tc>
        <w:tc>
          <w:tcPr>
            <w:tcW w:type="dxa" w:w="1587"/>
          </w:tcPr>
          <w:p>
            <w:pPr>
              <w:spacing w:line="240" w:lineRule="auto" w:after="60" w:before="60"/>
              <w:ind w:firstLine="0"/>
              <w:jc w:val="left"/>
            </w:pPr>
            <w:r/>
            <w:r>
              <w:rPr>
                <w:rFonts w:ascii="Times New Roman" w:hAnsi="Times New Roman" w:cs="Times New Roman" w:eastAsia="Times New Roman"/>
                <w:b w:val="0"/>
                <w:sz w:val="20"/>
              </w:rPr>
              <w:t>6 a 8 meses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Tarifa oficial vigente por clase</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Afiliación al sistema de seguridad social</w:t>
            </w:r>
          </w:p>
        </w:tc>
        <w:tc>
          <w:tcPr>
            <w:tcW w:type="dxa" w:w="2268"/>
          </w:tcPr>
          <w:p>
            <w:pPr>
              <w:spacing w:line="240" w:lineRule="auto" w:after="60" w:before="60"/>
              <w:ind w:firstLine="0"/>
              <w:jc w:val="left"/>
            </w:pPr>
            <w:r/>
            <w:r>
              <w:rPr>
                <w:rFonts w:ascii="Times New Roman" w:hAnsi="Times New Roman" w:cs="Times New Roman" w:eastAsia="Times New Roman"/>
                <w:b w:val="0"/>
                <w:sz w:val="20"/>
              </w:rPr>
              <w:t>EPS, ARL y fondo de pensiones</w:t>
            </w:r>
          </w:p>
        </w:tc>
        <w:tc>
          <w:tcPr>
            <w:tcW w:type="dxa" w:w="1587"/>
          </w:tcPr>
          <w:p>
            <w:pPr>
              <w:spacing w:line="240" w:lineRule="auto" w:after="60" w:before="60"/>
              <w:ind w:firstLine="0"/>
              <w:jc w:val="left"/>
            </w:pPr>
            <w:r/>
            <w:r>
              <w:rPr>
                <w:rFonts w:ascii="Times New Roman" w:hAnsi="Times New Roman" w:cs="Times New Roman" w:eastAsia="Times New Roman"/>
                <w:b w:val="0"/>
                <w:sz w:val="20"/>
              </w:rPr>
              <w:t>3 a 5 días hábiles</w:t>
            </w:r>
          </w:p>
        </w:tc>
        <w:tc>
          <w:tcPr>
            <w:tcW w:type="dxa" w:w="2381"/>
          </w:tcPr>
          <w:p>
            <w:pPr>
              <w:spacing w:line="240" w:lineRule="auto" w:after="60" w:before="60"/>
              <w:ind w:firstLine="0"/>
              <w:jc w:val="left"/>
            </w:pPr>
            <w:r/>
            <w:r>
              <w:rPr>
                <w:rFonts w:ascii="Times New Roman" w:hAnsi="Times New Roman" w:cs="Times New Roman" w:eastAsia="Times New Roman"/>
                <w:b w:val="0"/>
                <w:sz w:val="20"/>
              </w:rPr>
              <w:t>Según nómina. No aplica en la fase académica</w:t>
            </w:r>
          </w:p>
        </w:tc>
      </w:tr>
    </w:tbl>
    <w:p/>
    <w:p>
      <w:pPr>
        <w:pStyle w:val="Heading2"/>
      </w:pPr>
      <w:r>
        <w:t>Obligaciones de cumplimiento continuo</w:t>
      </w:r>
    </w:p>
    <w:p>
      <w:r>
        <w:t>Más allá de los trámites de apertura, operar la plataforma impone deberes permanentes. Hay que obtener autorización previa, expresa e informada de cada titular antes de recoger sus datos, atender consultas y reclamos en los plazos de la Ley 1581 de 2012, y actualizar el registro en el RNBD cada vez que cambien las bases de datos. Por el módulo de salud se aplica además el estándar reforzado que exigen los datos de categoría especial, incluida la posibilidad de que el titular se niegue a entregarlos sin perder acceso al resto del servicio. La configuración de la frecuencia de notificaciones responde a la Ley 2300 de 2023. Nada de esto es opcional, y por eso entra al cronograma como la actividad 26.</w:t>
      </w:r>
    </w:p>
    <w:p>
      <w:r>
        <w:br w:type="page"/>
      </w:r>
    </w:p>
    <w:p>
      <w:pPr>
        <w:pStyle w:val="Heading1"/>
      </w:pPr>
      <w:r>
        <w:t>10. Ingeniería del proyecto (nivel preliminar)</w:t>
      </w:r>
    </w:p>
    <w:p>
      <w:r>
        <w:t>Alivia es un proyecto de servicios, así que la ingeniería se concentra en el flujo de prestación, los puntos de contacto con el cliente y los recursos humanos y tecnológicos necesarios. El detalle de capacidad instalada, arquitectura de despliegue y localización se desarrolla en la ingeniería detallada de la Entrega 2.</w:t>
      </w:r>
    </w:p>
    <w:p>
      <w:pPr>
        <w:pStyle w:val="Heading2"/>
      </w:pPr>
      <w:r>
        <w:t>10.1 Diagrama de proceso: entradas, proceso y salidas</w:t>
      </w:r>
    </w:p>
    <w:p>
      <w:pPr>
        <w:spacing w:before="240"/>
        <w:ind w:firstLine="0"/>
      </w:pPr>
      <w:r>
        <w:rPr>
          <w:rFonts w:ascii="Times New Roman" w:hAnsi="Times New Roman" w:cs="Times New Roman" w:eastAsia="Times New Roman"/>
          <w:b/>
          <w:sz w:val="24"/>
        </w:rPr>
        <w:t>Tabla 18</w:t>
      </w:r>
    </w:p>
    <w:p>
      <w:pPr>
        <w:ind w:firstLine="0"/>
      </w:pPr>
      <w:r>
        <w:rPr>
          <w:rFonts w:ascii="Times New Roman" w:hAnsi="Times New Roman" w:cs="Times New Roman" w:eastAsia="Times New Roman"/>
          <w:i/>
          <w:sz w:val="24"/>
        </w:rPr>
        <w:t>Diagrama de Proceso: Entradas, Proceso y Salidas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3120"/>
        <w:gridCol w:w="3120"/>
        <w:gridCol w:w="3120"/>
      </w:tblGrid>
      <w:tr>
        <w:tc>
          <w:tcPr>
            <w:tcW w:type="dxa" w:w="289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Entradas</w:t>
            </w:r>
          </w:p>
        </w:tc>
        <w:tc>
          <w:tcPr>
            <w:tcW w:type="dxa" w:w="294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Proceso</w:t>
            </w:r>
          </w:p>
        </w:tc>
        <w:tc>
          <w:tcPr>
            <w:tcW w:type="dxa" w:w="294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Salidas</w:t>
            </w:r>
          </w:p>
        </w:tc>
      </w:tr>
      <w:tr>
        <w:tc>
          <w:tcPr>
            <w:tcW w:type="dxa" w:w="2891"/>
          </w:tcPr>
          <w:p>
            <w:pPr>
              <w:spacing w:line="240" w:lineRule="auto" w:after="60" w:before="60"/>
              <w:ind w:firstLine="0"/>
              <w:jc w:val="left"/>
            </w:pPr>
            <w:r/>
            <w:r>
              <w:rPr>
                <w:rFonts w:ascii="Times New Roman" w:hAnsi="Times New Roman" w:cs="Times New Roman" w:eastAsia="Times New Roman"/>
                <w:b w:val="0"/>
                <w:sz w:val="20"/>
              </w:rPr>
              <w:t>Datos de registro del usuario. Selección de módulos activos. Catálogo curado de obligaciones y sus ciclos. Fechas base declaradas, como la compra del vehículo o el último control médico. Preferencias de notificación. Marco normativo vigente.</w:t>
            </w:r>
          </w:p>
        </w:tc>
        <w:tc>
          <w:tcPr>
            <w:tcW w:type="dxa" w:w="2948"/>
          </w:tcPr>
          <w:p>
            <w:pPr>
              <w:spacing w:line="240" w:lineRule="auto" w:after="60" w:before="60"/>
              <w:ind w:firstLine="0"/>
              <w:jc w:val="left"/>
            </w:pPr>
            <w:r/>
            <w:r>
              <w:rPr>
                <w:rFonts w:ascii="Times New Roman" w:hAnsi="Times New Roman" w:cs="Times New Roman" w:eastAsia="Times New Roman"/>
                <w:b w:val="0"/>
                <w:sz w:val="20"/>
              </w:rPr>
              <w:t>Autenticación y creación de la sesión. Activación de módulos según el plan. Creación de recordatorios a partir de la plantilla. Cálculo de la fecha de vencimiento según el intervalo. Ordenamiento por consecuencia legal o económica. Revisión diaria programada de vencimientos. Envío y registro de la notificación. Reprogramación del ciclo cuando el usuario marca la tarea como cumplida.</w:t>
            </w:r>
          </w:p>
        </w:tc>
        <w:tc>
          <w:tcPr>
            <w:tcW w:type="dxa" w:w="2948"/>
          </w:tcPr>
          <w:p>
            <w:pPr>
              <w:spacing w:line="240" w:lineRule="auto" w:after="60" w:before="60"/>
              <w:ind w:firstLine="0"/>
              <w:jc w:val="left"/>
            </w:pPr>
            <w:r/>
            <w:r>
              <w:rPr>
                <w:rFonts w:ascii="Times New Roman" w:hAnsi="Times New Roman" w:cs="Times New Roman" w:eastAsia="Times New Roman"/>
                <w:b w:val="0"/>
                <w:sz w:val="20"/>
              </w:rPr>
              <w:t>Panel con las obligaciones vigentes y las próximas. Notificación oportuna por aplicación y correo. Historial de cumplimiento del usuario. Registro de notificaciones enviadas, que sirve de evidencia de cumplimiento. Obligaciones cumplidas a tiempo y multas evitadas. Indicadores de uso para la Entrega 2.</w:t>
            </w:r>
          </w:p>
        </w:tc>
      </w:tr>
    </w:tbl>
    <w:p/>
    <w:p>
      <w:pPr>
        <w:pStyle w:val="Heading2"/>
      </w:pPr>
      <w:r>
        <w:t>10.2 Puntos de contacto con el cliente</w:t>
      </w:r>
    </w:p>
    <w:p>
      <w:pPr>
        <w:pStyle w:val="ListNumber"/>
        <w:spacing w:line="480" w:lineRule="auto" w:after="0"/>
        <w:ind w:left="720"/>
      </w:pPr>
      <w:r>
        <w:rPr>
          <w:rFonts w:ascii="Times New Roman" w:hAnsi="Times New Roman" w:cs="Times New Roman" w:eastAsia="Times New Roman"/>
          <w:sz w:val="24"/>
        </w:rPr>
        <w:t>Descubrimiento, a través de la página de inicio con la propuesta de valor.</w:t>
      </w:r>
    </w:p>
    <w:p>
      <w:pPr>
        <w:pStyle w:val="ListNumber"/>
        <w:spacing w:line="480" w:lineRule="auto" w:after="0"/>
        <w:ind w:left="720"/>
      </w:pPr>
      <w:r>
        <w:rPr>
          <w:rFonts w:ascii="Times New Roman" w:hAnsi="Times New Roman" w:cs="Times New Roman" w:eastAsia="Times New Roman"/>
          <w:sz w:val="24"/>
        </w:rPr>
        <w:t>Registro, donde se crea la cuenta y se pide autorización explícita para tratar los datos.</w:t>
      </w:r>
    </w:p>
    <w:p>
      <w:pPr>
        <w:pStyle w:val="ListNumber"/>
        <w:spacing w:line="480" w:lineRule="auto" w:after="0"/>
        <w:ind w:left="720"/>
      </w:pPr>
      <w:r>
        <w:rPr>
          <w:rFonts w:ascii="Times New Roman" w:hAnsi="Times New Roman" w:cs="Times New Roman" w:eastAsia="Times New Roman"/>
          <w:sz w:val="24"/>
        </w:rPr>
        <w:t>Configuración inicial, donde el usuario elige módulos y se cargan las plantillas. Este es el momento decisivo de la experiencia, porque es donde se entrega el valor que diferencia al producto.</w:t>
      </w:r>
    </w:p>
    <w:p>
      <w:pPr>
        <w:pStyle w:val="ListNumber"/>
        <w:spacing w:line="480" w:lineRule="auto" w:after="0"/>
        <w:ind w:left="720"/>
      </w:pPr>
      <w:r>
        <w:rPr>
          <w:rFonts w:ascii="Times New Roman" w:hAnsi="Times New Roman" w:cs="Times New Roman" w:eastAsia="Times New Roman"/>
          <w:sz w:val="24"/>
        </w:rPr>
        <w:t>Uso recurrente, que consiste en recibir notificaciones y marcar lo que ya se cumplió.</w:t>
      </w:r>
    </w:p>
    <w:p>
      <w:pPr>
        <w:pStyle w:val="ListNumber"/>
        <w:spacing w:line="480" w:lineRule="auto" w:after="0"/>
        <w:ind w:left="720"/>
      </w:pPr>
      <w:r>
        <w:rPr>
          <w:rFonts w:ascii="Times New Roman" w:hAnsi="Times New Roman" w:cs="Times New Roman" w:eastAsia="Times New Roman"/>
          <w:sz w:val="24"/>
        </w:rPr>
        <w:t>Conversión, cuando el usuario activa un módulo premium a través de la pasarela de pagos.</w:t>
      </w:r>
    </w:p>
    <w:p>
      <w:pPr>
        <w:pStyle w:val="ListNumber"/>
        <w:spacing w:line="480" w:lineRule="auto" w:after="0"/>
        <w:ind w:left="720"/>
      </w:pPr>
      <w:r>
        <w:rPr>
          <w:rFonts w:ascii="Times New Roman" w:hAnsi="Times New Roman" w:cs="Times New Roman" w:eastAsia="Times New Roman"/>
          <w:sz w:val="24"/>
        </w:rPr>
        <w:t>Soporte, con un canal de atención y el ejercicio de derechos sobre los datos personales.</w:t>
      </w:r>
    </w:p>
    <w:p>
      <w:pPr>
        <w:pStyle w:val="Heading2"/>
      </w:pPr>
      <w:r>
        <w:t>10.3 Listado preliminar de equipos, insumos y servicios</w:t>
      </w:r>
    </w:p>
    <w:p>
      <w:pPr>
        <w:spacing w:before="240"/>
        <w:ind w:firstLine="0"/>
      </w:pPr>
      <w:r>
        <w:rPr>
          <w:rFonts w:ascii="Times New Roman" w:hAnsi="Times New Roman" w:cs="Times New Roman" w:eastAsia="Times New Roman"/>
          <w:b/>
          <w:sz w:val="24"/>
        </w:rPr>
        <w:t>Tabla 19</w:t>
      </w:r>
    </w:p>
    <w:p>
      <w:pPr>
        <w:ind w:firstLine="0"/>
      </w:pPr>
      <w:r>
        <w:rPr>
          <w:rFonts w:ascii="Times New Roman" w:hAnsi="Times New Roman" w:cs="Times New Roman" w:eastAsia="Times New Roman"/>
          <w:i/>
          <w:sz w:val="24"/>
        </w:rPr>
        <w:t>Listado Preliminar de Equipos, Insumos y Servicios</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2340"/>
        <w:gridCol w:w="2340"/>
        <w:gridCol w:w="2340"/>
        <w:gridCol w:w="2340"/>
      </w:tblGrid>
      <w:tr>
        <w:tc>
          <w:tcPr>
            <w:tcW w:type="dxa" w:w="215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Ítem</w:t>
            </w:r>
          </w:p>
        </w:tc>
        <w:tc>
          <w:tcPr>
            <w:tcW w:type="dxa" w:w="260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Función</w:t>
            </w:r>
          </w:p>
        </w:tc>
        <w:tc>
          <w:tcPr>
            <w:tcW w:type="dxa" w:w="181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Cantidad estimada</w:t>
            </w:r>
          </w:p>
        </w:tc>
        <w:tc>
          <w:tcPr>
            <w:tcW w:type="dxa" w:w="215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Proveedor de referencia</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Equipos de cómputo de desarrollo</w:t>
            </w:r>
          </w:p>
        </w:tc>
        <w:tc>
          <w:tcPr>
            <w:tcW w:type="dxa" w:w="2608"/>
          </w:tcPr>
          <w:p>
            <w:pPr>
              <w:spacing w:line="240" w:lineRule="auto" w:after="60" w:before="60"/>
              <w:ind w:firstLine="0"/>
              <w:jc w:val="left"/>
            </w:pPr>
            <w:r/>
            <w:r>
              <w:rPr>
                <w:rFonts w:ascii="Times New Roman" w:hAnsi="Times New Roman" w:cs="Times New Roman" w:eastAsia="Times New Roman"/>
                <w:b w:val="0"/>
                <w:sz w:val="20"/>
              </w:rPr>
              <w:t>Programar, diseñar y probar</w:t>
            </w:r>
          </w:p>
        </w:tc>
        <w:tc>
          <w:tcPr>
            <w:tcW w:type="dxa" w:w="1814"/>
          </w:tcPr>
          <w:p>
            <w:pPr>
              <w:spacing w:line="240" w:lineRule="auto" w:after="60" w:before="60"/>
              <w:ind w:firstLine="0"/>
              <w:jc w:val="left"/>
            </w:pPr>
            <w:r/>
            <w:r>
              <w:rPr>
                <w:rFonts w:ascii="Times New Roman" w:hAnsi="Times New Roman" w:cs="Times New Roman" w:eastAsia="Times New Roman"/>
                <w:b w:val="0"/>
                <w:sz w:val="20"/>
              </w:rPr>
              <w:t>4, propios del equipo</w:t>
            </w:r>
          </w:p>
        </w:tc>
        <w:tc>
          <w:tcPr>
            <w:tcW w:type="dxa" w:w="2154"/>
          </w:tcPr>
          <w:p>
            <w:pPr>
              <w:spacing w:line="240" w:lineRule="auto" w:after="60" w:before="60"/>
              <w:ind w:firstLine="0"/>
              <w:jc w:val="left"/>
            </w:pPr>
            <w:r/>
            <w:r>
              <w:rPr>
                <w:rFonts w:ascii="Times New Roman" w:hAnsi="Times New Roman" w:cs="Times New Roman" w:eastAsia="Times New Roman"/>
                <w:b w:val="0"/>
                <w:sz w:val="20"/>
              </w:rPr>
              <w:t>Recursos propios</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Dispositivos móviles de prueba</w:t>
            </w:r>
          </w:p>
        </w:tc>
        <w:tc>
          <w:tcPr>
            <w:tcW w:type="dxa" w:w="2608"/>
          </w:tcPr>
          <w:p>
            <w:pPr>
              <w:spacing w:line="240" w:lineRule="auto" w:after="60" w:before="60"/>
              <w:ind w:firstLine="0"/>
              <w:jc w:val="left"/>
            </w:pPr>
            <w:r/>
            <w:r>
              <w:rPr>
                <w:rFonts w:ascii="Times New Roman" w:hAnsi="Times New Roman" w:cs="Times New Roman" w:eastAsia="Times New Roman"/>
                <w:b w:val="0"/>
                <w:sz w:val="20"/>
              </w:rPr>
              <w:t>Validar en Android e iOS</w:t>
            </w:r>
          </w:p>
        </w:tc>
        <w:tc>
          <w:tcPr>
            <w:tcW w:type="dxa" w:w="1814"/>
          </w:tcPr>
          <w:p>
            <w:pPr>
              <w:spacing w:line="240" w:lineRule="auto" w:after="60" w:before="60"/>
              <w:ind w:firstLine="0"/>
              <w:jc w:val="left"/>
            </w:pPr>
            <w:r/>
            <w:r>
              <w:rPr>
                <w:rFonts w:ascii="Times New Roman" w:hAnsi="Times New Roman" w:cs="Times New Roman" w:eastAsia="Times New Roman"/>
                <w:b w:val="0"/>
                <w:sz w:val="20"/>
              </w:rPr>
              <w:t>2</w:t>
            </w:r>
          </w:p>
        </w:tc>
        <w:tc>
          <w:tcPr>
            <w:tcW w:type="dxa" w:w="2154"/>
          </w:tcPr>
          <w:p>
            <w:pPr>
              <w:spacing w:line="240" w:lineRule="auto" w:after="60" w:before="60"/>
              <w:ind w:firstLine="0"/>
              <w:jc w:val="left"/>
            </w:pPr>
            <w:r/>
            <w:r>
              <w:rPr>
                <w:rFonts w:ascii="Times New Roman" w:hAnsi="Times New Roman" w:cs="Times New Roman" w:eastAsia="Times New Roman"/>
                <w:b w:val="0"/>
                <w:sz w:val="20"/>
              </w:rPr>
              <w:t>Recursos propios</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Base de datos PostgreSQL gestionada</w:t>
            </w:r>
          </w:p>
        </w:tc>
        <w:tc>
          <w:tcPr>
            <w:tcW w:type="dxa" w:w="2608"/>
          </w:tcPr>
          <w:p>
            <w:pPr>
              <w:spacing w:line="240" w:lineRule="auto" w:after="60" w:before="60"/>
              <w:ind w:firstLine="0"/>
              <w:jc w:val="left"/>
            </w:pPr>
            <w:r/>
            <w:r>
              <w:rPr>
                <w:rFonts w:ascii="Times New Roman" w:hAnsi="Times New Roman" w:cs="Times New Roman" w:eastAsia="Times New Roman"/>
                <w:b w:val="0"/>
                <w:sz w:val="20"/>
              </w:rPr>
              <w:t>Guardar usuarios, módulos y recordatorios</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instancia</w:t>
            </w:r>
          </w:p>
        </w:tc>
        <w:tc>
          <w:tcPr>
            <w:tcW w:type="dxa" w:w="2154"/>
          </w:tcPr>
          <w:p>
            <w:pPr>
              <w:spacing w:line="240" w:lineRule="auto" w:after="60" w:before="60"/>
              <w:ind w:firstLine="0"/>
              <w:jc w:val="left"/>
            </w:pPr>
            <w:r/>
            <w:r>
              <w:rPr>
                <w:rFonts w:ascii="Times New Roman" w:hAnsi="Times New Roman" w:cs="Times New Roman" w:eastAsia="Times New Roman"/>
                <w:b w:val="0"/>
                <w:sz w:val="20"/>
              </w:rPr>
              <w:t>Supabase</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Alojamiento del backend</w:t>
            </w:r>
          </w:p>
        </w:tc>
        <w:tc>
          <w:tcPr>
            <w:tcW w:type="dxa" w:w="2608"/>
          </w:tcPr>
          <w:p>
            <w:pPr>
              <w:spacing w:line="240" w:lineRule="auto" w:after="60" w:before="60"/>
              <w:ind w:firstLine="0"/>
              <w:jc w:val="left"/>
            </w:pPr>
            <w:r/>
            <w:r>
              <w:rPr>
                <w:rFonts w:ascii="Times New Roman" w:hAnsi="Times New Roman" w:cs="Times New Roman" w:eastAsia="Times New Roman"/>
                <w:b w:val="0"/>
                <w:sz w:val="20"/>
              </w:rPr>
              <w:t>Ejecutar la API y el proceso programado de notificaciones</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servicio</w:t>
            </w:r>
          </w:p>
        </w:tc>
        <w:tc>
          <w:tcPr>
            <w:tcW w:type="dxa" w:w="2154"/>
          </w:tcPr>
          <w:p>
            <w:pPr>
              <w:spacing w:line="240" w:lineRule="auto" w:after="60" w:before="60"/>
              <w:ind w:firstLine="0"/>
              <w:jc w:val="left"/>
            </w:pPr>
            <w:r/>
            <w:r>
              <w:rPr>
                <w:rFonts w:ascii="Times New Roman" w:hAnsi="Times New Roman" w:cs="Times New Roman" w:eastAsia="Times New Roman"/>
                <w:b w:val="0"/>
                <w:sz w:val="20"/>
              </w:rPr>
              <w:t>Railway</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Alojamiento de la aplicación web</w:t>
            </w:r>
          </w:p>
        </w:tc>
        <w:tc>
          <w:tcPr>
            <w:tcW w:type="dxa" w:w="2608"/>
          </w:tcPr>
          <w:p>
            <w:pPr>
              <w:spacing w:line="240" w:lineRule="auto" w:after="60" w:before="60"/>
              <w:ind w:firstLine="0"/>
              <w:jc w:val="left"/>
            </w:pPr>
            <w:r/>
            <w:r>
              <w:rPr>
                <w:rFonts w:ascii="Times New Roman" w:hAnsi="Times New Roman" w:cs="Times New Roman" w:eastAsia="Times New Roman"/>
                <w:b w:val="0"/>
                <w:sz w:val="20"/>
              </w:rPr>
              <w:t>Distribuir el frontend</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proyecto</w:t>
            </w:r>
          </w:p>
        </w:tc>
        <w:tc>
          <w:tcPr>
            <w:tcW w:type="dxa" w:w="2154"/>
          </w:tcPr>
          <w:p>
            <w:pPr>
              <w:spacing w:line="240" w:lineRule="auto" w:after="60" w:before="60"/>
              <w:ind w:firstLine="0"/>
              <w:jc w:val="left"/>
            </w:pPr>
            <w:r/>
            <w:r>
              <w:rPr>
                <w:rFonts w:ascii="Times New Roman" w:hAnsi="Times New Roman" w:cs="Times New Roman" w:eastAsia="Times New Roman"/>
                <w:b w:val="0"/>
                <w:sz w:val="20"/>
              </w:rPr>
              <w:t>Vercel</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Servicio de correo transaccional</w:t>
            </w:r>
          </w:p>
        </w:tc>
        <w:tc>
          <w:tcPr>
            <w:tcW w:type="dxa" w:w="2608"/>
          </w:tcPr>
          <w:p>
            <w:pPr>
              <w:spacing w:line="240" w:lineRule="auto" w:after="60" w:before="60"/>
              <w:ind w:firstLine="0"/>
              <w:jc w:val="left"/>
            </w:pPr>
            <w:r/>
            <w:r>
              <w:rPr>
                <w:rFonts w:ascii="Times New Roman" w:hAnsi="Times New Roman" w:cs="Times New Roman" w:eastAsia="Times New Roman"/>
                <w:b w:val="0"/>
                <w:sz w:val="20"/>
              </w:rPr>
              <w:t>Enviar las notificaciones</w:t>
            </w:r>
          </w:p>
        </w:tc>
        <w:tc>
          <w:tcPr>
            <w:tcW w:type="dxa" w:w="1814"/>
          </w:tcPr>
          <w:p>
            <w:pPr>
              <w:spacing w:line="240" w:lineRule="auto" w:after="60" w:before="60"/>
              <w:ind w:firstLine="0"/>
              <w:jc w:val="left"/>
            </w:pPr>
            <w:r/>
            <w:r>
              <w:rPr>
                <w:rFonts w:ascii="Times New Roman" w:hAnsi="Times New Roman" w:cs="Times New Roman" w:eastAsia="Times New Roman"/>
                <w:b w:val="0"/>
                <w:sz w:val="20"/>
              </w:rPr>
              <w:t>Hasta 3.000 correos al mes</w:t>
            </w:r>
          </w:p>
        </w:tc>
        <w:tc>
          <w:tcPr>
            <w:tcW w:type="dxa" w:w="2154"/>
          </w:tcPr>
          <w:p>
            <w:pPr>
              <w:spacing w:line="240" w:lineRule="auto" w:after="60" w:before="60"/>
              <w:ind w:firstLine="0"/>
              <w:jc w:val="left"/>
            </w:pPr>
            <w:r/>
            <w:r>
              <w:rPr>
                <w:rFonts w:ascii="Times New Roman" w:hAnsi="Times New Roman" w:cs="Times New Roman" w:eastAsia="Times New Roman"/>
                <w:b w:val="0"/>
                <w:sz w:val="20"/>
              </w:rPr>
              <w:t>Resend</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Repositorio y control de versiones</w:t>
            </w:r>
          </w:p>
        </w:tc>
        <w:tc>
          <w:tcPr>
            <w:tcW w:type="dxa" w:w="2608"/>
          </w:tcPr>
          <w:p>
            <w:pPr>
              <w:spacing w:line="240" w:lineRule="auto" w:after="60" w:before="60"/>
              <w:ind w:firstLine="0"/>
              <w:jc w:val="left"/>
            </w:pPr>
            <w:r/>
            <w:r>
              <w:rPr>
                <w:rFonts w:ascii="Times New Roman" w:hAnsi="Times New Roman" w:cs="Times New Roman" w:eastAsia="Times New Roman"/>
                <w:b w:val="0"/>
                <w:sz w:val="20"/>
              </w:rPr>
              <w:t>Gestionar el código y el despliegue continuo</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repositorio</w:t>
            </w:r>
          </w:p>
        </w:tc>
        <w:tc>
          <w:tcPr>
            <w:tcW w:type="dxa" w:w="2154"/>
          </w:tcPr>
          <w:p>
            <w:pPr>
              <w:spacing w:line="240" w:lineRule="auto" w:after="60" w:before="60"/>
              <w:ind w:firstLine="0"/>
              <w:jc w:val="left"/>
            </w:pPr>
            <w:r/>
            <w:r>
              <w:rPr>
                <w:rFonts w:ascii="Times New Roman" w:hAnsi="Times New Roman" w:cs="Times New Roman" w:eastAsia="Times New Roman"/>
                <w:b w:val="0"/>
                <w:sz w:val="20"/>
              </w:rPr>
              <w:t>GitHub</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Herramienta de diseño de interfaz</w:t>
            </w:r>
          </w:p>
        </w:tc>
        <w:tc>
          <w:tcPr>
            <w:tcW w:type="dxa" w:w="2608"/>
          </w:tcPr>
          <w:p>
            <w:pPr>
              <w:spacing w:line="240" w:lineRule="auto" w:after="60" w:before="60"/>
              <w:ind w:firstLine="0"/>
              <w:jc w:val="left"/>
            </w:pPr>
            <w:r/>
            <w:r>
              <w:rPr>
                <w:rFonts w:ascii="Times New Roman" w:hAnsi="Times New Roman" w:cs="Times New Roman" w:eastAsia="Times New Roman"/>
                <w:b w:val="0"/>
                <w:sz w:val="20"/>
              </w:rPr>
              <w:t>Prototipar y validar</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licencia educativa</w:t>
            </w:r>
          </w:p>
        </w:tc>
        <w:tc>
          <w:tcPr>
            <w:tcW w:type="dxa" w:w="2154"/>
          </w:tcPr>
          <w:p>
            <w:pPr>
              <w:spacing w:line="240" w:lineRule="auto" w:after="60" w:before="60"/>
              <w:ind w:firstLine="0"/>
              <w:jc w:val="left"/>
            </w:pPr>
            <w:r/>
            <w:r>
              <w:rPr>
                <w:rFonts w:ascii="Times New Roman" w:hAnsi="Times New Roman" w:cs="Times New Roman" w:eastAsia="Times New Roman"/>
                <w:b w:val="0"/>
                <w:sz w:val="20"/>
              </w:rPr>
              <w:t>Figma</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Software de gestión de proyectos</w:t>
            </w:r>
          </w:p>
        </w:tc>
        <w:tc>
          <w:tcPr>
            <w:tcW w:type="dxa" w:w="2608"/>
          </w:tcPr>
          <w:p>
            <w:pPr>
              <w:spacing w:line="240" w:lineRule="auto" w:after="60" w:before="60"/>
              <w:ind w:firstLine="0"/>
              <w:jc w:val="left"/>
            </w:pPr>
            <w:r/>
            <w:r>
              <w:rPr>
                <w:rFonts w:ascii="Times New Roman" w:hAnsi="Times New Roman" w:cs="Times New Roman" w:eastAsia="Times New Roman"/>
                <w:b w:val="0"/>
                <w:sz w:val="20"/>
              </w:rPr>
              <w:t>Gantt, PERT y ruta crítica</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licencia</w:t>
            </w:r>
          </w:p>
        </w:tc>
        <w:tc>
          <w:tcPr>
            <w:tcW w:type="dxa" w:w="2154"/>
          </w:tcPr>
          <w:p>
            <w:pPr>
              <w:spacing w:line="240" w:lineRule="auto" w:after="60" w:before="60"/>
              <w:ind w:firstLine="0"/>
              <w:jc w:val="left"/>
            </w:pPr>
            <w:r/>
            <w:r>
              <w:rPr>
                <w:rFonts w:ascii="Times New Roman" w:hAnsi="Times New Roman" w:cs="Times New Roman" w:eastAsia="Times New Roman"/>
                <w:b w:val="0"/>
                <w:sz w:val="20"/>
              </w:rPr>
              <w:t>MS Project o GanttProject</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Dominio y certificado TLS</w:t>
            </w:r>
          </w:p>
        </w:tc>
        <w:tc>
          <w:tcPr>
            <w:tcW w:type="dxa" w:w="2608"/>
          </w:tcPr>
          <w:p>
            <w:pPr>
              <w:spacing w:line="240" w:lineRule="auto" w:after="60" w:before="60"/>
              <w:ind w:firstLine="0"/>
              <w:jc w:val="left"/>
            </w:pPr>
            <w:r/>
            <w:r>
              <w:rPr>
                <w:rFonts w:ascii="Times New Roman" w:hAnsi="Times New Roman" w:cs="Times New Roman" w:eastAsia="Times New Roman"/>
                <w:b w:val="0"/>
                <w:sz w:val="20"/>
              </w:rPr>
              <w:t>Identidad y cifrado en tránsito</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dominio .co</w:t>
            </w:r>
          </w:p>
        </w:tc>
        <w:tc>
          <w:tcPr>
            <w:tcW w:type="dxa" w:w="2154"/>
          </w:tcPr>
          <w:p>
            <w:pPr>
              <w:spacing w:line="240" w:lineRule="auto" w:after="60" w:before="60"/>
              <w:ind w:firstLine="0"/>
              <w:jc w:val="left"/>
            </w:pPr>
            <w:r/>
            <w:r>
              <w:rPr>
                <w:rFonts w:ascii="Times New Roman" w:hAnsi="Times New Roman" w:cs="Times New Roman" w:eastAsia="Times New Roman"/>
                <w:b w:val="0"/>
                <w:sz w:val="20"/>
              </w:rPr>
              <w:t>Registrador local. El TLS viene incluido en Vercel</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Pasarela de pagos en modo pruebas</w:t>
            </w:r>
          </w:p>
        </w:tc>
        <w:tc>
          <w:tcPr>
            <w:tcW w:type="dxa" w:w="2608"/>
          </w:tcPr>
          <w:p>
            <w:pPr>
              <w:spacing w:line="240" w:lineRule="auto" w:after="60" w:before="60"/>
              <w:ind w:firstLine="0"/>
              <w:jc w:val="left"/>
            </w:pPr>
            <w:r/>
            <w:r>
              <w:rPr>
                <w:rFonts w:ascii="Times New Roman" w:hAnsi="Times New Roman" w:cs="Times New Roman" w:eastAsia="Times New Roman"/>
                <w:b w:val="0"/>
                <w:sz w:val="20"/>
              </w:rPr>
              <w:t>Simular el cobro premium</w:t>
            </w:r>
          </w:p>
        </w:tc>
        <w:tc>
          <w:tcPr>
            <w:tcW w:type="dxa" w:w="1814"/>
          </w:tcPr>
          <w:p>
            <w:pPr>
              <w:spacing w:line="240" w:lineRule="auto" w:after="60" w:before="60"/>
              <w:ind w:firstLine="0"/>
              <w:jc w:val="left"/>
            </w:pPr>
            <w:r/>
            <w:r>
              <w:rPr>
                <w:rFonts w:ascii="Times New Roman" w:hAnsi="Times New Roman" w:cs="Times New Roman" w:eastAsia="Times New Roman"/>
                <w:b w:val="0"/>
                <w:sz w:val="20"/>
              </w:rPr>
              <w:t>1 integración</w:t>
            </w:r>
          </w:p>
        </w:tc>
        <w:tc>
          <w:tcPr>
            <w:tcW w:type="dxa" w:w="2154"/>
          </w:tcPr>
          <w:p>
            <w:pPr>
              <w:spacing w:line="240" w:lineRule="auto" w:after="60" w:before="60"/>
              <w:ind w:firstLine="0"/>
              <w:jc w:val="left"/>
            </w:pPr>
            <w:r/>
            <w:r>
              <w:rPr>
                <w:rFonts w:ascii="Times New Roman" w:hAnsi="Times New Roman" w:cs="Times New Roman" w:eastAsia="Times New Roman"/>
                <w:b w:val="0"/>
                <w:sz w:val="20"/>
              </w:rPr>
              <w:t>Wompi o Mercado Pago</w:t>
            </w:r>
          </w:p>
        </w:tc>
      </w:tr>
      <w:tr>
        <w:tc>
          <w:tcPr>
            <w:tcW w:type="dxa" w:w="2154"/>
          </w:tcPr>
          <w:p>
            <w:pPr>
              <w:spacing w:line="240" w:lineRule="auto" w:after="60" w:before="60"/>
              <w:ind w:firstLine="0"/>
              <w:jc w:val="left"/>
            </w:pPr>
            <w:r/>
            <w:r>
              <w:rPr>
                <w:rFonts w:ascii="Times New Roman" w:hAnsi="Times New Roman" w:cs="Times New Roman" w:eastAsia="Times New Roman"/>
                <w:b w:val="0"/>
                <w:sz w:val="20"/>
              </w:rPr>
              <w:t>Catálogo curado de obligaciones</w:t>
            </w:r>
          </w:p>
        </w:tc>
        <w:tc>
          <w:tcPr>
            <w:tcW w:type="dxa" w:w="2608"/>
          </w:tcPr>
          <w:p>
            <w:pPr>
              <w:spacing w:line="240" w:lineRule="auto" w:after="60" w:before="60"/>
              <w:ind w:firstLine="0"/>
              <w:jc w:val="left"/>
            </w:pPr>
            <w:r/>
            <w:r>
              <w:rPr>
                <w:rFonts w:ascii="Times New Roman" w:hAnsi="Times New Roman" w:cs="Times New Roman" w:eastAsia="Times New Roman"/>
                <w:b w:val="0"/>
                <w:sz w:val="20"/>
              </w:rPr>
              <w:t>Insumo de contenido y diferenciador del producto</w:t>
            </w:r>
          </w:p>
        </w:tc>
        <w:tc>
          <w:tcPr>
            <w:tcW w:type="dxa" w:w="1814"/>
          </w:tcPr>
          <w:p>
            <w:pPr>
              <w:spacing w:line="240" w:lineRule="auto" w:after="60" w:before="60"/>
              <w:ind w:firstLine="0"/>
              <w:jc w:val="left"/>
            </w:pPr>
            <w:r/>
            <w:r>
              <w:rPr>
                <w:rFonts w:ascii="Times New Roman" w:hAnsi="Times New Roman" w:cs="Times New Roman" w:eastAsia="Times New Roman"/>
                <w:b w:val="0"/>
                <w:sz w:val="20"/>
              </w:rPr>
              <w:t>40 plantillas verificadas o más</w:t>
            </w:r>
          </w:p>
        </w:tc>
        <w:tc>
          <w:tcPr>
            <w:tcW w:type="dxa" w:w="2154"/>
          </w:tcPr>
          <w:p>
            <w:pPr>
              <w:spacing w:line="240" w:lineRule="auto" w:after="60" w:before="60"/>
              <w:ind w:firstLine="0"/>
              <w:jc w:val="left"/>
            </w:pPr>
            <w:r/>
            <w:r>
              <w:rPr>
                <w:rFonts w:ascii="Times New Roman" w:hAnsi="Times New Roman" w:cs="Times New Roman" w:eastAsia="Times New Roman"/>
                <w:b w:val="0"/>
                <w:sz w:val="20"/>
              </w:rPr>
              <w:t>Elaboración propia con fuente normativa</w:t>
            </w:r>
          </w:p>
        </w:tc>
      </w:tr>
    </w:tbl>
    <w:p/>
    <w:p>
      <w:pPr>
        <w:pStyle w:val="Heading2"/>
      </w:pPr>
      <w:r>
        <w:t>10.4 Impactos ambientales y medidas de mitigación</w:t>
      </w:r>
    </w:p>
    <w:p>
      <w:pPr>
        <w:spacing w:before="240"/>
        <w:ind w:firstLine="0"/>
      </w:pPr>
      <w:r>
        <w:rPr>
          <w:rFonts w:ascii="Times New Roman" w:hAnsi="Times New Roman" w:cs="Times New Roman" w:eastAsia="Times New Roman"/>
          <w:b/>
          <w:sz w:val="24"/>
        </w:rPr>
        <w:t>Tabla 20</w:t>
      </w:r>
    </w:p>
    <w:p>
      <w:pPr>
        <w:ind w:firstLine="0"/>
      </w:pPr>
      <w:r>
        <w:rPr>
          <w:rFonts w:ascii="Times New Roman" w:hAnsi="Times New Roman" w:cs="Times New Roman" w:eastAsia="Times New Roman"/>
          <w:i/>
          <w:sz w:val="24"/>
        </w:rPr>
        <w:t>Impactos Ambientales Identificados y Medidas de Mitigación</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3120"/>
        <w:gridCol w:w="3120"/>
        <w:gridCol w:w="3120"/>
      </w:tblGrid>
      <w:tr>
        <w:tc>
          <w:tcPr>
            <w:tcW w:type="dxa" w:w="2551"/>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Impacto identificado</w:t>
            </w:r>
          </w:p>
        </w:tc>
        <w:tc>
          <w:tcPr>
            <w:tcW w:type="dxa" w:w="1020"/>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Signo</w:t>
            </w:r>
          </w:p>
        </w:tc>
        <w:tc>
          <w:tcPr>
            <w:tcW w:type="dxa" w:w="5216"/>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Medida concreta</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Consumo energético de los centros de datos que alojan la plataforma</w:t>
            </w:r>
          </w:p>
        </w:tc>
        <w:tc>
          <w:tcPr>
            <w:tcW w:type="dxa" w:w="1020"/>
          </w:tcPr>
          <w:p>
            <w:pPr>
              <w:spacing w:line="240" w:lineRule="auto" w:after="60" w:before="60"/>
              <w:ind w:firstLine="0"/>
              <w:jc w:val="left"/>
            </w:pPr>
            <w:r/>
            <w:r>
              <w:rPr>
                <w:rFonts w:ascii="Times New Roman" w:hAnsi="Times New Roman" w:cs="Times New Roman" w:eastAsia="Times New Roman"/>
                <w:b w:val="0"/>
                <w:sz w:val="20"/>
              </w:rPr>
              <w:t>Negativo</w:t>
            </w:r>
          </w:p>
        </w:tc>
        <w:tc>
          <w:tcPr>
            <w:tcW w:type="dxa" w:w="5216"/>
          </w:tcPr>
          <w:p>
            <w:pPr>
              <w:spacing w:line="240" w:lineRule="auto" w:after="60" w:before="60"/>
              <w:ind w:firstLine="0"/>
              <w:jc w:val="left"/>
            </w:pPr>
            <w:r/>
            <w:r>
              <w:rPr>
                <w:rFonts w:ascii="Times New Roman" w:hAnsi="Times New Roman" w:cs="Times New Roman" w:eastAsia="Times New Roman"/>
                <w:b w:val="0"/>
                <w:sz w:val="20"/>
              </w:rPr>
              <w:t>Elegir regiones del proveedor con compromiso de energía renovable y concentrar la revisión de vencimientos en una sola ejecución diaria, en lugar de consultas continuas</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Consumo energético en los dispositivos de los usuarios por las notificaciones</w:t>
            </w:r>
          </w:p>
        </w:tc>
        <w:tc>
          <w:tcPr>
            <w:tcW w:type="dxa" w:w="1020"/>
          </w:tcPr>
          <w:p>
            <w:pPr>
              <w:spacing w:line="240" w:lineRule="auto" w:after="60" w:before="60"/>
              <w:ind w:firstLine="0"/>
              <w:jc w:val="left"/>
            </w:pPr>
            <w:r/>
            <w:r>
              <w:rPr>
                <w:rFonts w:ascii="Times New Roman" w:hAnsi="Times New Roman" w:cs="Times New Roman" w:eastAsia="Times New Roman"/>
                <w:b w:val="0"/>
                <w:sz w:val="20"/>
              </w:rPr>
              <w:t>Negativo</w:t>
            </w:r>
          </w:p>
        </w:tc>
        <w:tc>
          <w:tcPr>
            <w:tcW w:type="dxa" w:w="5216"/>
          </w:tcPr>
          <w:p>
            <w:pPr>
              <w:spacing w:line="240" w:lineRule="auto" w:after="60" w:before="60"/>
              <w:ind w:firstLine="0"/>
              <w:jc w:val="left"/>
            </w:pPr>
            <w:r/>
            <w:r>
              <w:rPr>
                <w:rFonts w:ascii="Times New Roman" w:hAnsi="Times New Roman" w:cs="Times New Roman" w:eastAsia="Times New Roman"/>
                <w:b w:val="0"/>
                <w:sz w:val="20"/>
              </w:rPr>
              <w:t>Agrupar las notificaciones en un envío diario configurable en vez de mandar avisos sueltos, lo que además responde a la Ley 2300 de 2023</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Huella de los equipos de desarrollo</w:t>
            </w:r>
          </w:p>
        </w:tc>
        <w:tc>
          <w:tcPr>
            <w:tcW w:type="dxa" w:w="1020"/>
          </w:tcPr>
          <w:p>
            <w:pPr>
              <w:spacing w:line="240" w:lineRule="auto" w:after="60" w:before="60"/>
              <w:ind w:firstLine="0"/>
              <w:jc w:val="left"/>
            </w:pPr>
            <w:r/>
            <w:r>
              <w:rPr>
                <w:rFonts w:ascii="Times New Roman" w:hAnsi="Times New Roman" w:cs="Times New Roman" w:eastAsia="Times New Roman"/>
                <w:b w:val="0"/>
                <w:sz w:val="20"/>
              </w:rPr>
              <w:t>Negativo</w:t>
            </w:r>
          </w:p>
        </w:tc>
        <w:tc>
          <w:tcPr>
            <w:tcW w:type="dxa" w:w="5216"/>
          </w:tcPr>
          <w:p>
            <w:pPr>
              <w:spacing w:line="240" w:lineRule="auto" w:after="60" w:before="60"/>
              <w:ind w:firstLine="0"/>
              <w:jc w:val="left"/>
            </w:pPr>
            <w:r/>
            <w:r>
              <w:rPr>
                <w:rFonts w:ascii="Times New Roman" w:hAnsi="Times New Roman" w:cs="Times New Roman" w:eastAsia="Times New Roman"/>
                <w:b w:val="0"/>
                <w:sz w:val="20"/>
              </w:rPr>
              <w:t>Usar los equipos que ya tiene el equipo, sin comprar hardware nuevo</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Residuos electrónicos</w:t>
            </w:r>
          </w:p>
        </w:tc>
        <w:tc>
          <w:tcPr>
            <w:tcW w:type="dxa" w:w="1020"/>
          </w:tcPr>
          <w:p>
            <w:pPr>
              <w:spacing w:line="240" w:lineRule="auto" w:after="60" w:before="60"/>
              <w:ind w:firstLine="0"/>
              <w:jc w:val="left"/>
            </w:pPr>
            <w:r/>
            <w:r>
              <w:rPr>
                <w:rFonts w:ascii="Times New Roman" w:hAnsi="Times New Roman" w:cs="Times New Roman" w:eastAsia="Times New Roman"/>
                <w:b w:val="0"/>
                <w:sz w:val="20"/>
              </w:rPr>
              <w:t>Negativo</w:t>
            </w:r>
          </w:p>
        </w:tc>
        <w:tc>
          <w:tcPr>
            <w:tcW w:type="dxa" w:w="5216"/>
          </w:tcPr>
          <w:p>
            <w:pPr>
              <w:spacing w:line="240" w:lineRule="auto" w:after="60" w:before="60"/>
              <w:ind w:firstLine="0"/>
              <w:jc w:val="left"/>
            </w:pPr>
            <w:r/>
            <w:r>
              <w:rPr>
                <w:rFonts w:ascii="Times New Roman" w:hAnsi="Times New Roman" w:cs="Times New Roman" w:eastAsia="Times New Roman"/>
                <w:b w:val="0"/>
                <w:sz w:val="20"/>
              </w:rPr>
              <w:t>No se compra hardware dedicado. Al final de la vida útil se entrega a gestores autorizados</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Sustitución de agendas y soportes en papel</w:t>
            </w:r>
          </w:p>
        </w:tc>
        <w:tc>
          <w:tcPr>
            <w:tcW w:type="dxa" w:w="1020"/>
          </w:tcPr>
          <w:p>
            <w:pPr>
              <w:spacing w:line="240" w:lineRule="auto" w:after="60" w:before="60"/>
              <w:ind w:firstLine="0"/>
              <w:jc w:val="left"/>
            </w:pPr>
            <w:r/>
            <w:r>
              <w:rPr>
                <w:rFonts w:ascii="Times New Roman" w:hAnsi="Times New Roman" w:cs="Times New Roman" w:eastAsia="Times New Roman"/>
                <w:b w:val="0"/>
                <w:sz w:val="20"/>
              </w:rPr>
              <w:t>Positivo</w:t>
            </w:r>
          </w:p>
        </w:tc>
        <w:tc>
          <w:tcPr>
            <w:tcW w:type="dxa" w:w="5216"/>
          </w:tcPr>
          <w:p>
            <w:pPr>
              <w:spacing w:line="240" w:lineRule="auto" w:after="60" w:before="60"/>
              <w:ind w:firstLine="0"/>
              <w:jc w:val="left"/>
            </w:pPr>
            <w:r/>
            <w:r>
              <w:rPr>
                <w:rFonts w:ascii="Times New Roman" w:hAnsi="Times New Roman" w:cs="Times New Roman" w:eastAsia="Times New Roman"/>
                <w:b w:val="0"/>
                <w:sz w:val="20"/>
              </w:rPr>
              <w:t>Reforzarlo con un panel que permita consultar el historial sin imprimir nada</w:t>
            </w:r>
          </w:p>
        </w:tc>
      </w:tr>
      <w:tr>
        <w:tc>
          <w:tcPr>
            <w:tcW w:type="dxa" w:w="2551"/>
          </w:tcPr>
          <w:p>
            <w:pPr>
              <w:spacing w:line="240" w:lineRule="auto" w:after="60" w:before="60"/>
              <w:ind w:firstLine="0"/>
              <w:jc w:val="left"/>
            </w:pPr>
            <w:r/>
            <w:r>
              <w:rPr>
                <w:rFonts w:ascii="Times New Roman" w:hAnsi="Times New Roman" w:cs="Times New Roman" w:eastAsia="Times New Roman"/>
                <w:b w:val="0"/>
                <w:sz w:val="20"/>
              </w:rPr>
              <w:t>Reducción de desplazamientos por trámites vencidos o mal programados</w:t>
            </w:r>
          </w:p>
        </w:tc>
        <w:tc>
          <w:tcPr>
            <w:tcW w:type="dxa" w:w="1020"/>
          </w:tcPr>
          <w:p>
            <w:pPr>
              <w:spacing w:line="240" w:lineRule="auto" w:after="60" w:before="60"/>
              <w:ind w:firstLine="0"/>
              <w:jc w:val="left"/>
            </w:pPr>
            <w:r/>
            <w:r>
              <w:rPr>
                <w:rFonts w:ascii="Times New Roman" w:hAnsi="Times New Roman" w:cs="Times New Roman" w:eastAsia="Times New Roman"/>
                <w:b w:val="0"/>
                <w:sz w:val="20"/>
              </w:rPr>
              <w:t>Positivo</w:t>
            </w:r>
          </w:p>
        </w:tc>
        <w:tc>
          <w:tcPr>
            <w:tcW w:type="dxa" w:w="5216"/>
          </w:tcPr>
          <w:p>
            <w:pPr>
              <w:spacing w:line="240" w:lineRule="auto" w:after="60" w:before="60"/>
              <w:ind w:firstLine="0"/>
              <w:jc w:val="left"/>
            </w:pPr>
            <w:r/>
            <w:r>
              <w:rPr>
                <w:rFonts w:ascii="Times New Roman" w:hAnsi="Times New Roman" w:cs="Times New Roman" w:eastAsia="Times New Roman"/>
                <w:b w:val="0"/>
                <w:sz w:val="20"/>
              </w:rPr>
              <w:t>Reforzarlo agrupando en la misma notificación los trámites que se pueden resolver en un solo desplazamiento</w:t>
            </w:r>
          </w:p>
        </w:tc>
      </w:tr>
    </w:tbl>
    <w:p/>
    <w:p>
      <w:r>
        <w:br w:type="page"/>
      </w:r>
    </w:p>
    <w:p>
      <w:pPr>
        <w:pStyle w:val="Heading1"/>
      </w:pPr>
      <w:r>
        <w:t>11. Plan de trabajo del proyecto</w:t>
      </w:r>
    </w:p>
    <w:p>
      <w:r>
        <w:t>El cronograma tiene 28 actividades, dura 114 días hábiles, unas 23 semanas, y se reparte en 5 fases. La ruta crítica la componen 17 actividades.</w:t>
      </w:r>
    </w:p>
    <w:p>
      <w:r>
        <w:t>El cronograma se elabora en software especializado a partir del archivo cronograma-alivia.csv, que acompaña este documento y se importa a MS Project o a GanttProject para generar el diagrama de Gantt y la red PERT. Las precedencias son de tipo fin a inicio. Las holguras y la ruta crítica que aparecen en la tabla se obtuvieron aplicando el método de la ruta crítica sobre la red de precedencias, con pasada hacia adelante y hacia atrás.</w:t>
      </w:r>
    </w:p>
    <w:p>
      <w:pPr>
        <w:pStyle w:val="Heading2"/>
      </w:pPr>
      <w:r>
        <w:t>Tabla de actividades</w:t>
      </w:r>
    </w:p>
    <w:p>
      <w:pPr>
        <w:spacing w:before="240"/>
        <w:ind w:firstLine="0"/>
      </w:pPr>
      <w:r>
        <w:rPr>
          <w:rFonts w:ascii="Times New Roman" w:hAnsi="Times New Roman" w:cs="Times New Roman" w:eastAsia="Times New Roman"/>
          <w:b/>
          <w:sz w:val="24"/>
        </w:rPr>
        <w:t>Tabla 21</w:t>
      </w:r>
    </w:p>
    <w:p>
      <w:pPr>
        <w:ind w:firstLine="0"/>
      </w:pPr>
      <w:r>
        <w:rPr>
          <w:rFonts w:ascii="Times New Roman" w:hAnsi="Times New Roman" w:cs="Times New Roman" w:eastAsia="Times New Roman"/>
          <w:i/>
          <w:sz w:val="24"/>
        </w:rPr>
        <w:t>Actividades del Cronograma con Duración, Precedencias y Holgura</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1337"/>
        <w:gridCol w:w="1337"/>
        <w:gridCol w:w="1337"/>
        <w:gridCol w:w="1337"/>
        <w:gridCol w:w="1337"/>
        <w:gridCol w:w="1337"/>
        <w:gridCol w:w="1337"/>
      </w:tblGrid>
      <w:tr>
        <w:tc>
          <w:tcPr>
            <w:tcW w:type="dxa" w:w="56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N.º</w:t>
            </w:r>
          </w:p>
        </w:tc>
        <w:tc>
          <w:tcPr>
            <w:tcW w:type="dxa" w:w="3175"/>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Actividad</w:t>
            </w:r>
          </w:p>
        </w:tc>
        <w:tc>
          <w:tcPr>
            <w:tcW w:type="dxa" w:w="107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Duración (días)</w:t>
            </w:r>
          </w:p>
        </w:tc>
        <w:tc>
          <w:tcPr>
            <w:tcW w:type="dxa" w:w="124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Predecesoras</w:t>
            </w:r>
          </w:p>
        </w:tc>
        <w:tc>
          <w:tcPr>
            <w:tcW w:type="dxa" w:w="158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Responsable</w:t>
            </w:r>
          </w:p>
        </w:tc>
        <w:tc>
          <w:tcPr>
            <w:tcW w:type="dxa" w:w="850"/>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Holgura (días)</w:t>
            </w:r>
          </w:p>
        </w:tc>
        <w:tc>
          <w:tcPr>
            <w:tcW w:type="dxa" w:w="850"/>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En ruta crítica</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w:t>
            </w:r>
          </w:p>
        </w:tc>
        <w:tc>
          <w:tcPr>
            <w:tcW w:type="dxa" w:w="3175"/>
          </w:tcPr>
          <w:p>
            <w:pPr>
              <w:spacing w:line="240" w:lineRule="auto" w:after="60" w:before="60"/>
              <w:ind w:firstLine="0"/>
              <w:jc w:val="left"/>
            </w:pPr>
            <w:r/>
            <w:r>
              <w:rPr>
                <w:rFonts w:ascii="Times New Roman" w:hAnsi="Times New Roman" w:cs="Times New Roman" w:eastAsia="Times New Roman"/>
                <w:b w:val="0"/>
                <w:sz w:val="20"/>
              </w:rPr>
              <w:t>Conformación del equipo y definición de roles</w:t>
            </w:r>
          </w:p>
        </w:tc>
        <w:tc>
          <w:tcPr>
            <w:tcW w:type="dxa" w:w="1077"/>
          </w:tcPr>
          <w:p>
            <w:pPr>
              <w:spacing w:line="240" w:lineRule="auto" w:after="60" w:before="60"/>
              <w:ind w:firstLine="0"/>
              <w:jc w:val="left"/>
            </w:pPr>
            <w:r/>
            <w:r>
              <w:rPr>
                <w:rFonts w:ascii="Times New Roman" w:hAnsi="Times New Roman" w:cs="Times New Roman" w:eastAsia="Times New Roman"/>
                <w:b w:val="0"/>
                <w:sz w:val="20"/>
              </w:rPr>
              <w:t>2</w:t>
            </w:r>
          </w:p>
        </w:tc>
        <w:tc>
          <w:tcPr>
            <w:tcW w:type="dxa" w:w="1247"/>
          </w:tcPr>
          <w:p>
            <w:pPr>
              <w:spacing w:line="240" w:lineRule="auto" w:after="60" w:before="60"/>
              <w:ind w:firstLine="0"/>
              <w:jc w:val="left"/>
            </w:pPr>
            <w:r/>
            <w:r>
              <w:rPr>
                <w:rFonts w:ascii="Times New Roman" w:hAnsi="Times New Roman" w:cs="Times New Roman" w:eastAsia="Times New Roman"/>
                <w:b w:val="0"/>
                <w:sz w:val="20"/>
              </w:rPr>
            </w:r>
          </w:p>
        </w:tc>
        <w:tc>
          <w:tcPr>
            <w:tcW w:type="dxa" w:w="1587"/>
          </w:tcPr>
          <w:p>
            <w:pPr>
              <w:spacing w:line="240" w:lineRule="auto" w:after="60" w:before="60"/>
              <w:ind w:firstLine="0"/>
              <w:jc w:val="left"/>
            </w:pPr>
            <w:r/>
            <w:r>
              <w:rPr>
                <w:rFonts w:ascii="Times New Roman" w:hAnsi="Times New Roman" w:cs="Times New Roman" w:eastAsia="Times New Roman"/>
                <w:b w:val="0"/>
                <w:sz w:val="20"/>
              </w:rPr>
              <w:t>Director de proyecto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w:t>
            </w:r>
          </w:p>
        </w:tc>
        <w:tc>
          <w:tcPr>
            <w:tcW w:type="dxa" w:w="3175"/>
          </w:tcPr>
          <w:p>
            <w:pPr>
              <w:spacing w:line="240" w:lineRule="auto" w:after="60" w:before="60"/>
              <w:ind w:firstLine="0"/>
              <w:jc w:val="left"/>
            </w:pPr>
            <w:r/>
            <w:r>
              <w:rPr>
                <w:rFonts w:ascii="Times New Roman" w:hAnsi="Times New Roman" w:cs="Times New Roman" w:eastAsia="Times New Roman"/>
                <w:b w:val="0"/>
                <w:sz w:val="20"/>
              </w:rPr>
              <w:t>Identificación y validación de la idea de proyecto</w:t>
            </w:r>
          </w:p>
        </w:tc>
        <w:tc>
          <w:tcPr>
            <w:tcW w:type="dxa" w:w="1077"/>
          </w:tcPr>
          <w:p>
            <w:pPr>
              <w:spacing w:line="240" w:lineRule="auto" w:after="60" w:before="60"/>
              <w:ind w:firstLine="0"/>
              <w:jc w:val="left"/>
            </w:pPr>
            <w:r/>
            <w:r>
              <w:rPr>
                <w:rFonts w:ascii="Times New Roman" w:hAnsi="Times New Roman" w:cs="Times New Roman" w:eastAsia="Times New Roman"/>
                <w:b w:val="0"/>
                <w:sz w:val="20"/>
              </w:rPr>
              <w:t>3</w:t>
            </w:r>
          </w:p>
        </w:tc>
        <w:tc>
          <w:tcPr>
            <w:tcW w:type="dxa" w:w="1247"/>
          </w:tcPr>
          <w:p>
            <w:pPr>
              <w:spacing w:line="240" w:lineRule="auto" w:after="60" w:before="60"/>
              <w:ind w:firstLine="0"/>
              <w:jc w:val="left"/>
            </w:pPr>
            <w:r/>
            <w:r>
              <w:rPr>
                <w:rFonts w:ascii="Times New Roman" w:hAnsi="Times New Roman" w:cs="Times New Roman" w:eastAsia="Times New Roman"/>
                <w:b w:val="0"/>
                <w:sz w:val="20"/>
              </w:rPr>
              <w:t>1</w:t>
            </w:r>
          </w:p>
        </w:tc>
        <w:tc>
          <w:tcPr>
            <w:tcW w:type="dxa" w:w="1587"/>
          </w:tcPr>
          <w:p>
            <w:pPr>
              <w:spacing w:line="240" w:lineRule="auto" w:after="60" w:before="60"/>
              <w:ind w:firstLine="0"/>
              <w:jc w:val="left"/>
            </w:pPr>
            <w:r/>
            <w:r>
              <w:rPr>
                <w:rFonts w:ascii="Times New Roman" w:hAnsi="Times New Roman" w:cs="Times New Roman" w:eastAsia="Times New Roman"/>
                <w:b w:val="0"/>
                <w:sz w:val="20"/>
              </w:rPr>
              <w:t>Equipo completo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3</w:t>
            </w:r>
          </w:p>
        </w:tc>
        <w:tc>
          <w:tcPr>
            <w:tcW w:type="dxa" w:w="3175"/>
          </w:tcPr>
          <w:p>
            <w:pPr>
              <w:spacing w:line="240" w:lineRule="auto" w:after="60" w:before="60"/>
              <w:ind w:firstLine="0"/>
              <w:jc w:val="left"/>
            </w:pPr>
            <w:r/>
            <w:r>
              <w:rPr>
                <w:rFonts w:ascii="Times New Roman" w:hAnsi="Times New Roman" w:cs="Times New Roman" w:eastAsia="Times New Roman"/>
                <w:b w:val="0"/>
                <w:sz w:val="20"/>
              </w:rPr>
              <w:t>Investigación de estado del arte y fuentes sectoriales</w:t>
            </w:r>
          </w:p>
        </w:tc>
        <w:tc>
          <w:tcPr>
            <w:tcW w:type="dxa" w:w="1077"/>
          </w:tcPr>
          <w:p>
            <w:pPr>
              <w:spacing w:line="240" w:lineRule="auto" w:after="60" w:before="60"/>
              <w:ind w:firstLine="0"/>
              <w:jc w:val="left"/>
            </w:pPr>
            <w:r/>
            <w:r>
              <w:rPr>
                <w:rFonts w:ascii="Times New Roman" w:hAnsi="Times New Roman" w:cs="Times New Roman" w:eastAsia="Times New Roman"/>
                <w:b w:val="0"/>
                <w:sz w:val="20"/>
              </w:rPr>
              <w:t>8</w:t>
            </w:r>
          </w:p>
        </w:tc>
        <w:tc>
          <w:tcPr>
            <w:tcW w:type="dxa" w:w="1247"/>
          </w:tcPr>
          <w:p>
            <w:pPr>
              <w:spacing w:line="240" w:lineRule="auto" w:after="60" w:before="60"/>
              <w:ind w:firstLine="0"/>
              <w:jc w:val="left"/>
            </w:pPr>
            <w:r/>
            <w:r>
              <w:rPr>
                <w:rFonts w:ascii="Times New Roman" w:hAnsi="Times New Roman" w:cs="Times New Roman" w:eastAsia="Times New Roman"/>
                <w:b w:val="0"/>
                <w:sz w:val="20"/>
              </w:rPr>
              <w:t>2</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de mercado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4</w:t>
            </w:r>
          </w:p>
        </w:tc>
        <w:tc>
          <w:tcPr>
            <w:tcW w:type="dxa" w:w="3175"/>
          </w:tcPr>
          <w:p>
            <w:pPr>
              <w:spacing w:line="240" w:lineRule="auto" w:after="60" w:before="60"/>
              <w:ind w:firstLine="0"/>
              <w:jc w:val="left"/>
            </w:pPr>
            <w:r/>
            <w:r>
              <w:rPr>
                <w:rFonts w:ascii="Times New Roman" w:hAnsi="Times New Roman" w:cs="Times New Roman" w:eastAsia="Times New Roman"/>
                <w:b w:val="0"/>
                <w:sz w:val="20"/>
              </w:rPr>
              <w:t>Construcción del árbol de problemas y de objetivos</w:t>
            </w:r>
          </w:p>
        </w:tc>
        <w:tc>
          <w:tcPr>
            <w:tcW w:type="dxa" w:w="1077"/>
          </w:tcPr>
          <w:p>
            <w:pPr>
              <w:spacing w:line="240" w:lineRule="auto" w:after="60" w:before="60"/>
              <w:ind w:firstLine="0"/>
              <w:jc w:val="left"/>
            </w:pPr>
            <w:r/>
            <w:r>
              <w:rPr>
                <w:rFonts w:ascii="Times New Roman" w:hAnsi="Times New Roman" w:cs="Times New Roman" w:eastAsia="Times New Roman"/>
                <w:b w:val="0"/>
                <w:sz w:val="20"/>
              </w:rPr>
              <w:t>4</w:t>
            </w:r>
          </w:p>
        </w:tc>
        <w:tc>
          <w:tcPr>
            <w:tcW w:type="dxa" w:w="1247"/>
          </w:tcPr>
          <w:p>
            <w:pPr>
              <w:spacing w:line="240" w:lineRule="auto" w:after="60" w:before="60"/>
              <w:ind w:firstLine="0"/>
              <w:jc w:val="left"/>
            </w:pPr>
            <w:r/>
            <w:r>
              <w:rPr>
                <w:rFonts w:ascii="Times New Roman" w:hAnsi="Times New Roman" w:cs="Times New Roman" w:eastAsia="Times New Roman"/>
                <w:b w:val="0"/>
                <w:sz w:val="20"/>
              </w:rPr>
              <w:t>2</w:t>
            </w:r>
          </w:p>
        </w:tc>
        <w:tc>
          <w:tcPr>
            <w:tcW w:type="dxa" w:w="1587"/>
          </w:tcPr>
          <w:p>
            <w:pPr>
              <w:spacing w:line="240" w:lineRule="auto" w:after="60" w:before="60"/>
              <w:ind w:firstLine="0"/>
              <w:jc w:val="left"/>
            </w:pPr>
            <w:r/>
            <w:r>
              <w:rPr>
                <w:rFonts w:ascii="Times New Roman" w:hAnsi="Times New Roman" w:cs="Times New Roman" w:eastAsia="Times New Roman"/>
                <w:b w:val="0"/>
                <w:sz w:val="20"/>
              </w:rPr>
              <w:t>Director de proyecto</w:t>
            </w:r>
          </w:p>
        </w:tc>
        <w:tc>
          <w:tcPr>
            <w:tcW w:type="dxa" w:w="850"/>
          </w:tcPr>
          <w:p>
            <w:pPr>
              <w:spacing w:line="240" w:lineRule="auto" w:after="60" w:before="60"/>
              <w:ind w:firstLine="0"/>
              <w:jc w:val="left"/>
            </w:pPr>
            <w:r/>
            <w:r>
              <w:rPr>
                <w:rFonts w:ascii="Times New Roman" w:hAnsi="Times New Roman" w:cs="Times New Roman" w:eastAsia="Times New Roman"/>
                <w:b w:val="0"/>
                <w:sz w:val="20"/>
              </w:rPr>
              <w:t>6</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5</w:t>
            </w:r>
          </w:p>
        </w:tc>
        <w:tc>
          <w:tcPr>
            <w:tcW w:type="dxa" w:w="3175"/>
          </w:tcPr>
          <w:p>
            <w:pPr>
              <w:spacing w:line="240" w:lineRule="auto" w:after="60" w:before="60"/>
              <w:ind w:firstLine="0"/>
              <w:jc w:val="left"/>
            </w:pPr>
            <w:r/>
            <w:r>
              <w:rPr>
                <w:rFonts w:ascii="Times New Roman" w:hAnsi="Times New Roman" w:cs="Times New Roman" w:eastAsia="Times New Roman"/>
                <w:b w:val="0"/>
                <w:sz w:val="20"/>
              </w:rPr>
              <w:t>Formulación de objetivos y alcance del proyecto</w:t>
            </w:r>
          </w:p>
        </w:tc>
        <w:tc>
          <w:tcPr>
            <w:tcW w:type="dxa" w:w="1077"/>
          </w:tcPr>
          <w:p>
            <w:pPr>
              <w:spacing w:line="240" w:lineRule="auto" w:after="60" w:before="60"/>
              <w:ind w:firstLine="0"/>
              <w:jc w:val="left"/>
            </w:pPr>
            <w:r/>
            <w:r>
              <w:rPr>
                <w:rFonts w:ascii="Times New Roman" w:hAnsi="Times New Roman" w:cs="Times New Roman" w:eastAsia="Times New Roman"/>
                <w:b w:val="0"/>
                <w:sz w:val="20"/>
              </w:rPr>
              <w:t>3</w:t>
            </w:r>
          </w:p>
        </w:tc>
        <w:tc>
          <w:tcPr>
            <w:tcW w:type="dxa" w:w="1247"/>
          </w:tcPr>
          <w:p>
            <w:pPr>
              <w:spacing w:line="240" w:lineRule="auto" w:after="60" w:before="60"/>
              <w:ind w:firstLine="0"/>
              <w:jc w:val="left"/>
            </w:pPr>
            <w:r/>
            <w:r>
              <w:rPr>
                <w:rFonts w:ascii="Times New Roman" w:hAnsi="Times New Roman" w:cs="Times New Roman" w:eastAsia="Times New Roman"/>
                <w:b w:val="0"/>
                <w:sz w:val="20"/>
              </w:rPr>
              <w:t>4</w:t>
            </w:r>
          </w:p>
        </w:tc>
        <w:tc>
          <w:tcPr>
            <w:tcW w:type="dxa" w:w="1587"/>
          </w:tcPr>
          <w:p>
            <w:pPr>
              <w:spacing w:line="240" w:lineRule="auto" w:after="60" w:before="60"/>
              <w:ind w:firstLine="0"/>
              <w:jc w:val="left"/>
            </w:pPr>
            <w:r/>
            <w:r>
              <w:rPr>
                <w:rFonts w:ascii="Times New Roman" w:hAnsi="Times New Roman" w:cs="Times New Roman" w:eastAsia="Times New Roman"/>
                <w:b w:val="0"/>
                <w:sz w:val="20"/>
              </w:rPr>
              <w:t>Director de proyecto</w:t>
            </w:r>
          </w:p>
        </w:tc>
        <w:tc>
          <w:tcPr>
            <w:tcW w:type="dxa" w:w="850"/>
          </w:tcPr>
          <w:p>
            <w:pPr>
              <w:spacing w:line="240" w:lineRule="auto" w:after="60" w:before="60"/>
              <w:ind w:firstLine="0"/>
              <w:jc w:val="left"/>
            </w:pPr>
            <w:r/>
            <w:r>
              <w:rPr>
                <w:rFonts w:ascii="Times New Roman" w:hAnsi="Times New Roman" w:cs="Times New Roman" w:eastAsia="Times New Roman"/>
                <w:b w:val="0"/>
                <w:sz w:val="20"/>
              </w:rPr>
              <w:t>6</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6</w:t>
            </w:r>
          </w:p>
        </w:tc>
        <w:tc>
          <w:tcPr>
            <w:tcW w:type="dxa" w:w="3175"/>
          </w:tcPr>
          <w:p>
            <w:pPr>
              <w:spacing w:line="240" w:lineRule="auto" w:after="60" w:before="60"/>
              <w:ind w:firstLine="0"/>
              <w:jc w:val="left"/>
            </w:pPr>
            <w:r/>
            <w:r>
              <w:rPr>
                <w:rFonts w:ascii="Times New Roman" w:hAnsi="Times New Roman" w:cs="Times New Roman" w:eastAsia="Times New Roman"/>
                <w:b w:val="0"/>
                <w:sz w:val="20"/>
              </w:rPr>
              <w:t>Análisis PESTEL del entorno colombiano</w:t>
            </w:r>
          </w:p>
        </w:tc>
        <w:tc>
          <w:tcPr>
            <w:tcW w:type="dxa" w:w="1077"/>
          </w:tcPr>
          <w:p>
            <w:pPr>
              <w:spacing w:line="240" w:lineRule="auto" w:after="60" w:before="60"/>
              <w:ind w:firstLine="0"/>
              <w:jc w:val="left"/>
            </w:pPr>
            <w:r/>
            <w:r>
              <w:rPr>
                <w:rFonts w:ascii="Times New Roman" w:hAnsi="Times New Roman" w:cs="Times New Roman" w:eastAsia="Times New Roman"/>
                <w:b w:val="0"/>
                <w:sz w:val="20"/>
              </w:rPr>
              <w:t>5</w:t>
            </w:r>
          </w:p>
        </w:tc>
        <w:tc>
          <w:tcPr>
            <w:tcW w:type="dxa" w:w="1247"/>
          </w:tcPr>
          <w:p>
            <w:pPr>
              <w:spacing w:line="240" w:lineRule="auto" w:after="60" w:before="60"/>
              <w:ind w:firstLine="0"/>
              <w:jc w:val="left"/>
            </w:pPr>
            <w:r/>
            <w:r>
              <w:rPr>
                <w:rFonts w:ascii="Times New Roman" w:hAnsi="Times New Roman" w:cs="Times New Roman" w:eastAsia="Times New Roman"/>
                <w:b w:val="0"/>
                <w:sz w:val="20"/>
              </w:rPr>
              <w:t>3</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de mercado</w:t>
            </w:r>
          </w:p>
        </w:tc>
        <w:tc>
          <w:tcPr>
            <w:tcW w:type="dxa" w:w="850"/>
          </w:tcPr>
          <w:p>
            <w:pPr>
              <w:spacing w:line="240" w:lineRule="auto" w:after="60" w:before="60"/>
              <w:ind w:firstLine="0"/>
              <w:jc w:val="left"/>
            </w:pPr>
            <w:r/>
            <w:r>
              <w:rPr>
                <w:rFonts w:ascii="Times New Roman" w:hAnsi="Times New Roman" w:cs="Times New Roman" w:eastAsia="Times New Roman"/>
                <w:b w:val="0"/>
                <w:sz w:val="20"/>
              </w:rPr>
              <w:t>1</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7</w:t>
            </w:r>
          </w:p>
        </w:tc>
        <w:tc>
          <w:tcPr>
            <w:tcW w:type="dxa" w:w="3175"/>
          </w:tcPr>
          <w:p>
            <w:pPr>
              <w:spacing w:line="240" w:lineRule="auto" w:after="60" w:before="60"/>
              <w:ind w:firstLine="0"/>
              <w:jc w:val="left"/>
            </w:pPr>
            <w:r/>
            <w:r>
              <w:rPr>
                <w:rFonts w:ascii="Times New Roman" w:hAnsi="Times New Roman" w:cs="Times New Roman" w:eastAsia="Times New Roman"/>
                <w:b w:val="0"/>
                <w:sz w:val="20"/>
              </w:rPr>
              <w:t>Análisis de competencia y benchmarking de precios</w:t>
            </w:r>
          </w:p>
        </w:tc>
        <w:tc>
          <w:tcPr>
            <w:tcW w:type="dxa" w:w="1077"/>
          </w:tcPr>
          <w:p>
            <w:pPr>
              <w:spacing w:line="240" w:lineRule="auto" w:after="60" w:before="60"/>
              <w:ind w:firstLine="0"/>
              <w:jc w:val="left"/>
            </w:pPr>
            <w:r/>
            <w:r>
              <w:rPr>
                <w:rFonts w:ascii="Times New Roman" w:hAnsi="Times New Roman" w:cs="Times New Roman" w:eastAsia="Times New Roman"/>
                <w:b w:val="0"/>
                <w:sz w:val="20"/>
              </w:rPr>
              <w:t>5</w:t>
            </w:r>
          </w:p>
        </w:tc>
        <w:tc>
          <w:tcPr>
            <w:tcW w:type="dxa" w:w="1247"/>
          </w:tcPr>
          <w:p>
            <w:pPr>
              <w:spacing w:line="240" w:lineRule="auto" w:after="60" w:before="60"/>
              <w:ind w:firstLine="0"/>
              <w:jc w:val="left"/>
            </w:pPr>
            <w:r/>
            <w:r>
              <w:rPr>
                <w:rFonts w:ascii="Times New Roman" w:hAnsi="Times New Roman" w:cs="Times New Roman" w:eastAsia="Times New Roman"/>
                <w:b w:val="0"/>
                <w:sz w:val="20"/>
              </w:rPr>
              <w:t>3</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de mercado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8</w:t>
            </w:r>
          </w:p>
        </w:tc>
        <w:tc>
          <w:tcPr>
            <w:tcW w:type="dxa" w:w="3175"/>
          </w:tcPr>
          <w:p>
            <w:pPr>
              <w:spacing w:line="240" w:lineRule="auto" w:after="60" w:before="60"/>
              <w:ind w:firstLine="0"/>
              <w:jc w:val="left"/>
            </w:pPr>
            <w:r/>
            <w:r>
              <w:rPr>
                <w:rFonts w:ascii="Times New Roman" w:hAnsi="Times New Roman" w:cs="Times New Roman" w:eastAsia="Times New Roman"/>
                <w:b w:val="0"/>
                <w:sz w:val="20"/>
              </w:rPr>
              <w:t>Análisis de proveedores y cotización de servicios cloud</w:t>
            </w:r>
          </w:p>
        </w:tc>
        <w:tc>
          <w:tcPr>
            <w:tcW w:type="dxa" w:w="1077"/>
          </w:tcPr>
          <w:p>
            <w:pPr>
              <w:spacing w:line="240" w:lineRule="auto" w:after="60" w:before="60"/>
              <w:ind w:firstLine="0"/>
              <w:jc w:val="left"/>
            </w:pPr>
            <w:r/>
            <w:r>
              <w:rPr>
                <w:rFonts w:ascii="Times New Roman" w:hAnsi="Times New Roman" w:cs="Times New Roman" w:eastAsia="Times New Roman"/>
                <w:b w:val="0"/>
                <w:sz w:val="20"/>
              </w:rPr>
              <w:t>4</w:t>
            </w:r>
          </w:p>
        </w:tc>
        <w:tc>
          <w:tcPr>
            <w:tcW w:type="dxa" w:w="1247"/>
          </w:tcPr>
          <w:p>
            <w:pPr>
              <w:spacing w:line="240" w:lineRule="auto" w:after="60" w:before="60"/>
              <w:ind w:firstLine="0"/>
              <w:jc w:val="left"/>
            </w:pPr>
            <w:r/>
            <w:r>
              <w:rPr>
                <w:rFonts w:ascii="Times New Roman" w:hAnsi="Times New Roman" w:cs="Times New Roman" w:eastAsia="Times New Roman"/>
                <w:b w:val="0"/>
                <w:sz w:val="20"/>
              </w:rPr>
              <w:t>3</w:t>
            </w:r>
          </w:p>
        </w:tc>
        <w:tc>
          <w:tcPr>
            <w:tcW w:type="dxa" w:w="1587"/>
          </w:tcPr>
          <w:p>
            <w:pPr>
              <w:spacing w:line="240" w:lineRule="auto" w:after="60" w:before="60"/>
              <w:ind w:firstLine="0"/>
              <w:jc w:val="left"/>
            </w:pPr>
            <w:r/>
            <w:r>
              <w:rPr>
                <w:rFonts w:ascii="Times New Roman" w:hAnsi="Times New Roman" w:cs="Times New Roman" w:eastAsia="Times New Roman"/>
                <w:b w:val="0"/>
                <w:sz w:val="20"/>
              </w:rPr>
              <w:t>Líder técnico</w:t>
            </w:r>
          </w:p>
        </w:tc>
        <w:tc>
          <w:tcPr>
            <w:tcW w:type="dxa" w:w="850"/>
          </w:tcPr>
          <w:p>
            <w:pPr>
              <w:spacing w:line="240" w:lineRule="auto" w:after="60" w:before="60"/>
              <w:ind w:firstLine="0"/>
              <w:jc w:val="left"/>
            </w:pPr>
            <w:r/>
            <w:r>
              <w:rPr>
                <w:rFonts w:ascii="Times New Roman" w:hAnsi="Times New Roman" w:cs="Times New Roman" w:eastAsia="Times New Roman"/>
                <w:b w:val="0"/>
                <w:sz w:val="20"/>
              </w:rPr>
              <w:t>6</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9</w:t>
            </w:r>
          </w:p>
        </w:tc>
        <w:tc>
          <w:tcPr>
            <w:tcW w:type="dxa" w:w="3175"/>
          </w:tcPr>
          <w:p>
            <w:pPr>
              <w:spacing w:line="240" w:lineRule="auto" w:after="60" w:before="60"/>
              <w:ind w:firstLine="0"/>
              <w:jc w:val="left"/>
            </w:pPr>
            <w:r/>
            <w:r>
              <w:rPr>
                <w:rFonts w:ascii="Times New Roman" w:hAnsi="Times New Roman" w:cs="Times New Roman" w:eastAsia="Times New Roman"/>
                <w:b w:val="0"/>
                <w:sz w:val="20"/>
              </w:rPr>
              <w:t>Estudio administrativo y legal preliminar</w:t>
            </w:r>
          </w:p>
        </w:tc>
        <w:tc>
          <w:tcPr>
            <w:tcW w:type="dxa" w:w="1077"/>
          </w:tcPr>
          <w:p>
            <w:pPr>
              <w:spacing w:line="240" w:lineRule="auto" w:after="60" w:before="60"/>
              <w:ind w:firstLine="0"/>
              <w:jc w:val="left"/>
            </w:pPr>
            <w:r/>
            <w:r>
              <w:rPr>
                <w:rFonts w:ascii="Times New Roman" w:hAnsi="Times New Roman" w:cs="Times New Roman" w:eastAsia="Times New Roman"/>
                <w:b w:val="0"/>
                <w:sz w:val="20"/>
              </w:rPr>
              <w:t>4</w:t>
            </w:r>
          </w:p>
        </w:tc>
        <w:tc>
          <w:tcPr>
            <w:tcW w:type="dxa" w:w="1247"/>
          </w:tcPr>
          <w:p>
            <w:pPr>
              <w:spacing w:line="240" w:lineRule="auto" w:after="60" w:before="60"/>
              <w:ind w:firstLine="0"/>
              <w:jc w:val="left"/>
            </w:pPr>
            <w:r/>
            <w:r>
              <w:rPr>
                <w:rFonts w:ascii="Times New Roman" w:hAnsi="Times New Roman" w:cs="Times New Roman" w:eastAsia="Times New Roman"/>
                <w:b w:val="0"/>
                <w:sz w:val="20"/>
              </w:rPr>
              <w:t>6</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legal</w:t>
            </w:r>
          </w:p>
        </w:tc>
        <w:tc>
          <w:tcPr>
            <w:tcW w:type="dxa" w:w="850"/>
          </w:tcPr>
          <w:p>
            <w:pPr>
              <w:spacing w:line="240" w:lineRule="auto" w:after="60" w:before="60"/>
              <w:ind w:firstLine="0"/>
              <w:jc w:val="left"/>
            </w:pPr>
            <w:r/>
            <w:r>
              <w:rPr>
                <w:rFonts w:ascii="Times New Roman" w:hAnsi="Times New Roman" w:cs="Times New Roman" w:eastAsia="Times New Roman"/>
                <w:b w:val="0"/>
                <w:sz w:val="20"/>
              </w:rPr>
              <w:t>1</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10</w:t>
            </w:r>
          </w:p>
        </w:tc>
        <w:tc>
          <w:tcPr>
            <w:tcW w:type="dxa" w:w="3175"/>
          </w:tcPr>
          <w:p>
            <w:pPr>
              <w:spacing w:line="240" w:lineRule="auto" w:after="60" w:before="60"/>
              <w:ind w:firstLine="0"/>
              <w:jc w:val="left"/>
            </w:pPr>
            <w:r/>
            <w:r>
              <w:rPr>
                <w:rFonts w:ascii="Times New Roman" w:hAnsi="Times New Roman" w:cs="Times New Roman" w:eastAsia="Times New Roman"/>
                <w:b w:val="0"/>
                <w:sz w:val="20"/>
              </w:rPr>
              <w:t>Ingeniería preliminar del proyecto</w:t>
            </w:r>
          </w:p>
        </w:tc>
        <w:tc>
          <w:tcPr>
            <w:tcW w:type="dxa" w:w="1077"/>
          </w:tcPr>
          <w:p>
            <w:pPr>
              <w:spacing w:line="240" w:lineRule="auto" w:after="60" w:before="60"/>
              <w:ind w:firstLine="0"/>
              <w:jc w:val="left"/>
            </w:pPr>
            <w:r/>
            <w:r>
              <w:rPr>
                <w:rFonts w:ascii="Times New Roman" w:hAnsi="Times New Roman" w:cs="Times New Roman" w:eastAsia="Times New Roman"/>
                <w:b w:val="0"/>
                <w:sz w:val="20"/>
              </w:rPr>
              <w:t>5</w:t>
            </w:r>
          </w:p>
        </w:tc>
        <w:tc>
          <w:tcPr>
            <w:tcW w:type="dxa" w:w="1247"/>
          </w:tcPr>
          <w:p>
            <w:pPr>
              <w:spacing w:line="240" w:lineRule="auto" w:after="60" w:before="60"/>
              <w:ind w:firstLine="0"/>
              <w:jc w:val="left"/>
            </w:pPr>
            <w:r/>
            <w:r>
              <w:rPr>
                <w:rFonts w:ascii="Times New Roman" w:hAnsi="Times New Roman" w:cs="Times New Roman" w:eastAsia="Times New Roman"/>
                <w:b w:val="0"/>
                <w:sz w:val="20"/>
              </w:rPr>
              <w:t>5, 7</w:t>
            </w:r>
          </w:p>
        </w:tc>
        <w:tc>
          <w:tcPr>
            <w:tcW w:type="dxa" w:w="1587"/>
          </w:tcPr>
          <w:p>
            <w:pPr>
              <w:spacing w:line="240" w:lineRule="auto" w:after="60" w:before="60"/>
              <w:ind w:firstLine="0"/>
              <w:jc w:val="left"/>
            </w:pPr>
            <w:r/>
            <w:r>
              <w:rPr>
                <w:rFonts w:ascii="Times New Roman" w:hAnsi="Times New Roman" w:cs="Times New Roman" w:eastAsia="Times New Roman"/>
                <w:b w:val="0"/>
                <w:sz w:val="20"/>
              </w:rPr>
              <w:t>Líder técnico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11</w:t>
            </w:r>
          </w:p>
        </w:tc>
        <w:tc>
          <w:tcPr>
            <w:tcW w:type="dxa" w:w="3175"/>
          </w:tcPr>
          <w:p>
            <w:pPr>
              <w:spacing w:line="240" w:lineRule="auto" w:after="60" w:before="60"/>
              <w:ind w:firstLine="0"/>
              <w:jc w:val="left"/>
            </w:pPr>
            <w:r/>
            <w:r>
              <w:rPr>
                <w:rFonts w:ascii="Times New Roman" w:hAnsi="Times New Roman" w:cs="Times New Roman" w:eastAsia="Times New Roman"/>
                <w:b w:val="0"/>
                <w:sz w:val="20"/>
              </w:rPr>
              <w:t>Consolidación y entrega del perfil (Entrega 1)</w:t>
            </w:r>
          </w:p>
        </w:tc>
        <w:tc>
          <w:tcPr>
            <w:tcW w:type="dxa" w:w="1077"/>
          </w:tcPr>
          <w:p>
            <w:pPr>
              <w:spacing w:line="240" w:lineRule="auto" w:after="60" w:before="60"/>
              <w:ind w:firstLine="0"/>
              <w:jc w:val="left"/>
            </w:pPr>
            <w:r/>
            <w:r>
              <w:rPr>
                <w:rFonts w:ascii="Times New Roman" w:hAnsi="Times New Roman" w:cs="Times New Roman" w:eastAsia="Times New Roman"/>
                <w:b w:val="0"/>
                <w:sz w:val="20"/>
              </w:rPr>
              <w:t>3</w:t>
            </w:r>
          </w:p>
        </w:tc>
        <w:tc>
          <w:tcPr>
            <w:tcW w:type="dxa" w:w="1247"/>
          </w:tcPr>
          <w:p>
            <w:pPr>
              <w:spacing w:line="240" w:lineRule="auto" w:after="60" w:before="60"/>
              <w:ind w:firstLine="0"/>
              <w:jc w:val="left"/>
            </w:pPr>
            <w:r/>
            <w:r>
              <w:rPr>
                <w:rFonts w:ascii="Times New Roman" w:hAnsi="Times New Roman" w:cs="Times New Roman" w:eastAsia="Times New Roman"/>
                <w:b w:val="0"/>
                <w:sz w:val="20"/>
              </w:rPr>
              <w:t>8, 9, 10</w:t>
            </w:r>
          </w:p>
        </w:tc>
        <w:tc>
          <w:tcPr>
            <w:tcW w:type="dxa" w:w="1587"/>
          </w:tcPr>
          <w:p>
            <w:pPr>
              <w:spacing w:line="240" w:lineRule="auto" w:after="60" w:before="60"/>
              <w:ind w:firstLine="0"/>
              <w:jc w:val="left"/>
            </w:pPr>
            <w:r/>
            <w:r>
              <w:rPr>
                <w:rFonts w:ascii="Times New Roman" w:hAnsi="Times New Roman" w:cs="Times New Roman" w:eastAsia="Times New Roman"/>
                <w:b w:val="0"/>
                <w:sz w:val="20"/>
              </w:rPr>
              <w:t>Equipo completo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12</w:t>
            </w:r>
          </w:p>
        </w:tc>
        <w:tc>
          <w:tcPr>
            <w:tcW w:type="dxa" w:w="3175"/>
          </w:tcPr>
          <w:p>
            <w:pPr>
              <w:spacing w:line="240" w:lineRule="auto" w:after="60" w:before="60"/>
              <w:ind w:firstLine="0"/>
              <w:jc w:val="left"/>
            </w:pPr>
            <w:r/>
            <w:r>
              <w:rPr>
                <w:rFonts w:ascii="Times New Roman" w:hAnsi="Times New Roman" w:cs="Times New Roman" w:eastAsia="Times New Roman"/>
                <w:b w:val="0"/>
                <w:sz w:val="20"/>
              </w:rPr>
              <w:t>Diseño del instrumento de encuesta</w:t>
            </w:r>
          </w:p>
        </w:tc>
        <w:tc>
          <w:tcPr>
            <w:tcW w:type="dxa" w:w="1077"/>
          </w:tcPr>
          <w:p>
            <w:pPr>
              <w:spacing w:line="240" w:lineRule="auto" w:after="60" w:before="60"/>
              <w:ind w:firstLine="0"/>
              <w:jc w:val="left"/>
            </w:pPr>
            <w:r/>
            <w:r>
              <w:rPr>
                <w:rFonts w:ascii="Times New Roman" w:hAnsi="Times New Roman" w:cs="Times New Roman" w:eastAsia="Times New Roman"/>
                <w:b w:val="0"/>
                <w:sz w:val="20"/>
              </w:rPr>
              <w:t>3</w:t>
            </w:r>
          </w:p>
        </w:tc>
        <w:tc>
          <w:tcPr>
            <w:tcW w:type="dxa" w:w="1247"/>
          </w:tcPr>
          <w:p>
            <w:pPr>
              <w:spacing w:line="240" w:lineRule="auto" w:after="60" w:before="60"/>
              <w:ind w:firstLine="0"/>
              <w:jc w:val="left"/>
            </w:pPr>
            <w:r/>
            <w:r>
              <w:rPr>
                <w:rFonts w:ascii="Times New Roman" w:hAnsi="Times New Roman" w:cs="Times New Roman" w:eastAsia="Times New Roman"/>
                <w:b w:val="0"/>
                <w:sz w:val="20"/>
              </w:rPr>
              <w:t>11</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de mercado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13</w:t>
            </w:r>
          </w:p>
        </w:tc>
        <w:tc>
          <w:tcPr>
            <w:tcW w:type="dxa" w:w="3175"/>
          </w:tcPr>
          <w:p>
            <w:pPr>
              <w:spacing w:line="240" w:lineRule="auto" w:after="60" w:before="60"/>
              <w:ind w:firstLine="0"/>
              <w:jc w:val="left"/>
            </w:pPr>
            <w:r/>
            <w:r>
              <w:rPr>
                <w:rFonts w:ascii="Times New Roman" w:hAnsi="Times New Roman" w:cs="Times New Roman" w:eastAsia="Times New Roman"/>
                <w:b w:val="0"/>
                <w:sz w:val="20"/>
              </w:rPr>
              <w:t>Aplicación de encuesta a 200 adultos de 25 a 55 años</w:t>
            </w:r>
          </w:p>
        </w:tc>
        <w:tc>
          <w:tcPr>
            <w:tcW w:type="dxa" w:w="1077"/>
          </w:tcPr>
          <w:p>
            <w:pPr>
              <w:spacing w:line="240" w:lineRule="auto" w:after="60" w:before="60"/>
              <w:ind w:firstLine="0"/>
              <w:jc w:val="left"/>
            </w:pPr>
            <w:r/>
            <w:r>
              <w:rPr>
                <w:rFonts w:ascii="Times New Roman" w:hAnsi="Times New Roman" w:cs="Times New Roman" w:eastAsia="Times New Roman"/>
                <w:b w:val="0"/>
                <w:sz w:val="20"/>
              </w:rPr>
              <w:t>10</w:t>
            </w:r>
          </w:p>
        </w:tc>
        <w:tc>
          <w:tcPr>
            <w:tcW w:type="dxa" w:w="1247"/>
          </w:tcPr>
          <w:p>
            <w:pPr>
              <w:spacing w:line="240" w:lineRule="auto" w:after="60" w:before="60"/>
              <w:ind w:firstLine="0"/>
              <w:jc w:val="left"/>
            </w:pPr>
            <w:r/>
            <w:r>
              <w:rPr>
                <w:rFonts w:ascii="Times New Roman" w:hAnsi="Times New Roman" w:cs="Times New Roman" w:eastAsia="Times New Roman"/>
                <w:b w:val="0"/>
                <w:sz w:val="20"/>
              </w:rPr>
              <w:t>12</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de mercado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14</w:t>
            </w:r>
          </w:p>
        </w:tc>
        <w:tc>
          <w:tcPr>
            <w:tcW w:type="dxa" w:w="3175"/>
          </w:tcPr>
          <w:p>
            <w:pPr>
              <w:spacing w:line="240" w:lineRule="auto" w:after="60" w:before="60"/>
              <w:ind w:firstLine="0"/>
              <w:jc w:val="left"/>
            </w:pPr>
            <w:r/>
            <w:r>
              <w:rPr>
                <w:rFonts w:ascii="Times New Roman" w:hAnsi="Times New Roman" w:cs="Times New Roman" w:eastAsia="Times New Roman"/>
                <w:b w:val="0"/>
                <w:sz w:val="20"/>
              </w:rPr>
              <w:t>Entrevistas a profundidad con 10 usuarios potenciales</w:t>
            </w:r>
          </w:p>
        </w:tc>
        <w:tc>
          <w:tcPr>
            <w:tcW w:type="dxa" w:w="1077"/>
          </w:tcPr>
          <w:p>
            <w:pPr>
              <w:spacing w:line="240" w:lineRule="auto" w:after="60" w:before="60"/>
              <w:ind w:firstLine="0"/>
              <w:jc w:val="left"/>
            </w:pPr>
            <w:r/>
            <w:r>
              <w:rPr>
                <w:rFonts w:ascii="Times New Roman" w:hAnsi="Times New Roman" w:cs="Times New Roman" w:eastAsia="Times New Roman"/>
                <w:b w:val="0"/>
                <w:sz w:val="20"/>
              </w:rPr>
              <w:t>6</w:t>
            </w:r>
          </w:p>
        </w:tc>
        <w:tc>
          <w:tcPr>
            <w:tcW w:type="dxa" w:w="1247"/>
          </w:tcPr>
          <w:p>
            <w:pPr>
              <w:spacing w:line="240" w:lineRule="auto" w:after="60" w:before="60"/>
              <w:ind w:firstLine="0"/>
              <w:jc w:val="left"/>
            </w:pPr>
            <w:r/>
            <w:r>
              <w:rPr>
                <w:rFonts w:ascii="Times New Roman" w:hAnsi="Times New Roman" w:cs="Times New Roman" w:eastAsia="Times New Roman"/>
                <w:b w:val="0"/>
                <w:sz w:val="20"/>
              </w:rPr>
              <w:t>12</w:t>
            </w:r>
          </w:p>
        </w:tc>
        <w:tc>
          <w:tcPr>
            <w:tcW w:type="dxa" w:w="1587"/>
          </w:tcPr>
          <w:p>
            <w:pPr>
              <w:spacing w:line="240" w:lineRule="auto" w:after="60" w:before="60"/>
              <w:ind w:firstLine="0"/>
              <w:jc w:val="left"/>
            </w:pPr>
            <w:r/>
            <w:r>
              <w:rPr>
                <w:rFonts w:ascii="Times New Roman" w:hAnsi="Times New Roman" w:cs="Times New Roman" w:eastAsia="Times New Roman"/>
                <w:b w:val="0"/>
                <w:sz w:val="20"/>
              </w:rPr>
              <w:t>Diseñador UX</w:t>
            </w:r>
          </w:p>
        </w:tc>
        <w:tc>
          <w:tcPr>
            <w:tcW w:type="dxa" w:w="850"/>
          </w:tcPr>
          <w:p>
            <w:pPr>
              <w:spacing w:line="240" w:lineRule="auto" w:after="60" w:before="60"/>
              <w:ind w:firstLine="0"/>
              <w:jc w:val="left"/>
            </w:pPr>
            <w:r/>
            <w:r>
              <w:rPr>
                <w:rFonts w:ascii="Times New Roman" w:hAnsi="Times New Roman" w:cs="Times New Roman" w:eastAsia="Times New Roman"/>
                <w:b w:val="0"/>
                <w:sz w:val="20"/>
              </w:rPr>
              <w:t>4</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15</w:t>
            </w:r>
          </w:p>
        </w:tc>
        <w:tc>
          <w:tcPr>
            <w:tcW w:type="dxa" w:w="3175"/>
          </w:tcPr>
          <w:p>
            <w:pPr>
              <w:spacing w:line="240" w:lineRule="auto" w:after="60" w:before="60"/>
              <w:ind w:firstLine="0"/>
              <w:jc w:val="left"/>
            </w:pPr>
            <w:r/>
            <w:r>
              <w:rPr>
                <w:rFonts w:ascii="Times New Roman" w:hAnsi="Times New Roman" w:cs="Times New Roman" w:eastAsia="Times New Roman"/>
                <w:b w:val="0"/>
                <w:sz w:val="20"/>
              </w:rPr>
              <w:t>Procesamiento y análisis de resultados de campo</w:t>
            </w:r>
          </w:p>
        </w:tc>
        <w:tc>
          <w:tcPr>
            <w:tcW w:type="dxa" w:w="1077"/>
          </w:tcPr>
          <w:p>
            <w:pPr>
              <w:spacing w:line="240" w:lineRule="auto" w:after="60" w:before="60"/>
              <w:ind w:firstLine="0"/>
              <w:jc w:val="left"/>
            </w:pPr>
            <w:r/>
            <w:r>
              <w:rPr>
                <w:rFonts w:ascii="Times New Roman" w:hAnsi="Times New Roman" w:cs="Times New Roman" w:eastAsia="Times New Roman"/>
                <w:b w:val="0"/>
                <w:sz w:val="20"/>
              </w:rPr>
              <w:t>5</w:t>
            </w:r>
          </w:p>
        </w:tc>
        <w:tc>
          <w:tcPr>
            <w:tcW w:type="dxa" w:w="1247"/>
          </w:tcPr>
          <w:p>
            <w:pPr>
              <w:spacing w:line="240" w:lineRule="auto" w:after="60" w:before="60"/>
              <w:ind w:firstLine="0"/>
              <w:jc w:val="left"/>
            </w:pPr>
            <w:r/>
            <w:r>
              <w:rPr>
                <w:rFonts w:ascii="Times New Roman" w:hAnsi="Times New Roman" w:cs="Times New Roman" w:eastAsia="Times New Roman"/>
                <w:b w:val="0"/>
                <w:sz w:val="20"/>
              </w:rPr>
              <w:t>13, 14</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de mercado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16</w:t>
            </w:r>
          </w:p>
        </w:tc>
        <w:tc>
          <w:tcPr>
            <w:tcW w:type="dxa" w:w="3175"/>
          </w:tcPr>
          <w:p>
            <w:pPr>
              <w:spacing w:line="240" w:lineRule="auto" w:after="60" w:before="60"/>
              <w:ind w:firstLine="0"/>
              <w:jc w:val="left"/>
            </w:pPr>
            <w:r/>
            <w:r>
              <w:rPr>
                <w:rFonts w:ascii="Times New Roman" w:hAnsi="Times New Roman" w:cs="Times New Roman" w:eastAsia="Times New Roman"/>
                <w:b w:val="0"/>
                <w:sz w:val="20"/>
              </w:rPr>
              <w:t>Definición de propuesta de valor y precio localizado</w:t>
            </w:r>
          </w:p>
        </w:tc>
        <w:tc>
          <w:tcPr>
            <w:tcW w:type="dxa" w:w="1077"/>
          </w:tcPr>
          <w:p>
            <w:pPr>
              <w:spacing w:line="240" w:lineRule="auto" w:after="60" w:before="60"/>
              <w:ind w:firstLine="0"/>
              <w:jc w:val="left"/>
            </w:pPr>
            <w:r/>
            <w:r>
              <w:rPr>
                <w:rFonts w:ascii="Times New Roman" w:hAnsi="Times New Roman" w:cs="Times New Roman" w:eastAsia="Times New Roman"/>
                <w:b w:val="0"/>
                <w:sz w:val="20"/>
              </w:rPr>
              <w:t>4</w:t>
            </w:r>
          </w:p>
        </w:tc>
        <w:tc>
          <w:tcPr>
            <w:tcW w:type="dxa" w:w="1247"/>
          </w:tcPr>
          <w:p>
            <w:pPr>
              <w:spacing w:line="240" w:lineRule="auto" w:after="60" w:before="60"/>
              <w:ind w:firstLine="0"/>
              <w:jc w:val="left"/>
            </w:pPr>
            <w:r/>
            <w:r>
              <w:rPr>
                <w:rFonts w:ascii="Times New Roman" w:hAnsi="Times New Roman" w:cs="Times New Roman" w:eastAsia="Times New Roman"/>
                <w:b w:val="0"/>
                <w:sz w:val="20"/>
              </w:rPr>
              <w:t>15</w:t>
            </w:r>
          </w:p>
        </w:tc>
        <w:tc>
          <w:tcPr>
            <w:tcW w:type="dxa" w:w="1587"/>
          </w:tcPr>
          <w:p>
            <w:pPr>
              <w:spacing w:line="240" w:lineRule="auto" w:after="60" w:before="60"/>
              <w:ind w:firstLine="0"/>
              <w:jc w:val="left"/>
            </w:pPr>
            <w:r/>
            <w:r>
              <w:rPr>
                <w:rFonts w:ascii="Times New Roman" w:hAnsi="Times New Roman" w:cs="Times New Roman" w:eastAsia="Times New Roman"/>
                <w:b w:val="0"/>
                <w:sz w:val="20"/>
              </w:rPr>
              <w:t>Director de proyecto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17</w:t>
            </w:r>
          </w:p>
        </w:tc>
        <w:tc>
          <w:tcPr>
            <w:tcW w:type="dxa" w:w="3175"/>
          </w:tcPr>
          <w:p>
            <w:pPr>
              <w:spacing w:line="240" w:lineRule="auto" w:after="60" w:before="60"/>
              <w:ind w:firstLine="0"/>
              <w:jc w:val="left"/>
            </w:pPr>
            <w:r/>
            <w:r>
              <w:rPr>
                <w:rFonts w:ascii="Times New Roman" w:hAnsi="Times New Roman" w:cs="Times New Roman" w:eastAsia="Times New Roman"/>
                <w:b w:val="0"/>
                <w:sz w:val="20"/>
              </w:rPr>
              <w:t>Diseño UX/UI y prototipo navegable</w:t>
            </w:r>
          </w:p>
        </w:tc>
        <w:tc>
          <w:tcPr>
            <w:tcW w:type="dxa" w:w="1077"/>
          </w:tcPr>
          <w:p>
            <w:pPr>
              <w:spacing w:line="240" w:lineRule="auto" w:after="60" w:before="60"/>
              <w:ind w:firstLine="0"/>
              <w:jc w:val="left"/>
            </w:pPr>
            <w:r/>
            <w:r>
              <w:rPr>
                <w:rFonts w:ascii="Times New Roman" w:hAnsi="Times New Roman" w:cs="Times New Roman" w:eastAsia="Times New Roman"/>
                <w:b w:val="0"/>
                <w:sz w:val="20"/>
              </w:rPr>
              <w:t>8</w:t>
            </w:r>
          </w:p>
        </w:tc>
        <w:tc>
          <w:tcPr>
            <w:tcW w:type="dxa" w:w="1247"/>
          </w:tcPr>
          <w:p>
            <w:pPr>
              <w:spacing w:line="240" w:lineRule="auto" w:after="60" w:before="60"/>
              <w:ind w:firstLine="0"/>
              <w:jc w:val="left"/>
            </w:pPr>
            <w:r/>
            <w:r>
              <w:rPr>
                <w:rFonts w:ascii="Times New Roman" w:hAnsi="Times New Roman" w:cs="Times New Roman" w:eastAsia="Times New Roman"/>
                <w:b w:val="0"/>
                <w:sz w:val="20"/>
              </w:rPr>
              <w:t>16</w:t>
            </w:r>
          </w:p>
        </w:tc>
        <w:tc>
          <w:tcPr>
            <w:tcW w:type="dxa" w:w="1587"/>
          </w:tcPr>
          <w:p>
            <w:pPr>
              <w:spacing w:line="240" w:lineRule="auto" w:after="60" w:before="60"/>
              <w:ind w:firstLine="0"/>
              <w:jc w:val="left"/>
            </w:pPr>
            <w:r/>
            <w:r>
              <w:rPr>
                <w:rFonts w:ascii="Times New Roman" w:hAnsi="Times New Roman" w:cs="Times New Roman" w:eastAsia="Times New Roman"/>
                <w:b w:val="0"/>
                <w:sz w:val="20"/>
              </w:rPr>
              <w:t>Diseñador UX</w:t>
            </w:r>
          </w:p>
        </w:tc>
        <w:tc>
          <w:tcPr>
            <w:tcW w:type="dxa" w:w="850"/>
          </w:tcPr>
          <w:p>
            <w:pPr>
              <w:spacing w:line="240" w:lineRule="auto" w:after="60" w:before="60"/>
              <w:ind w:firstLine="0"/>
              <w:jc w:val="left"/>
            </w:pPr>
            <w:r/>
            <w:r>
              <w:rPr>
                <w:rFonts w:ascii="Times New Roman" w:hAnsi="Times New Roman" w:cs="Times New Roman" w:eastAsia="Times New Roman"/>
                <w:b w:val="0"/>
                <w:sz w:val="20"/>
              </w:rPr>
              <w:t>8</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18</w:t>
            </w:r>
          </w:p>
        </w:tc>
        <w:tc>
          <w:tcPr>
            <w:tcW w:type="dxa" w:w="3175"/>
          </w:tcPr>
          <w:p>
            <w:pPr>
              <w:spacing w:line="240" w:lineRule="auto" w:after="60" w:before="60"/>
              <w:ind w:firstLine="0"/>
              <w:jc w:val="left"/>
            </w:pPr>
            <w:r/>
            <w:r>
              <w:rPr>
                <w:rFonts w:ascii="Times New Roman" w:hAnsi="Times New Roman" w:cs="Times New Roman" w:eastAsia="Times New Roman"/>
                <w:b w:val="0"/>
                <w:sz w:val="20"/>
              </w:rPr>
              <w:t>Validación del prototipo con usuarios</w:t>
            </w:r>
          </w:p>
        </w:tc>
        <w:tc>
          <w:tcPr>
            <w:tcW w:type="dxa" w:w="1077"/>
          </w:tcPr>
          <w:p>
            <w:pPr>
              <w:spacing w:line="240" w:lineRule="auto" w:after="60" w:before="60"/>
              <w:ind w:firstLine="0"/>
              <w:jc w:val="left"/>
            </w:pPr>
            <w:r/>
            <w:r>
              <w:rPr>
                <w:rFonts w:ascii="Times New Roman" w:hAnsi="Times New Roman" w:cs="Times New Roman" w:eastAsia="Times New Roman"/>
                <w:b w:val="0"/>
                <w:sz w:val="20"/>
              </w:rPr>
              <w:t>4</w:t>
            </w:r>
          </w:p>
        </w:tc>
        <w:tc>
          <w:tcPr>
            <w:tcW w:type="dxa" w:w="1247"/>
          </w:tcPr>
          <w:p>
            <w:pPr>
              <w:spacing w:line="240" w:lineRule="auto" w:after="60" w:before="60"/>
              <w:ind w:firstLine="0"/>
              <w:jc w:val="left"/>
            </w:pPr>
            <w:r/>
            <w:r>
              <w:rPr>
                <w:rFonts w:ascii="Times New Roman" w:hAnsi="Times New Roman" w:cs="Times New Roman" w:eastAsia="Times New Roman"/>
                <w:b w:val="0"/>
                <w:sz w:val="20"/>
              </w:rPr>
              <w:t>17</w:t>
            </w:r>
          </w:p>
        </w:tc>
        <w:tc>
          <w:tcPr>
            <w:tcW w:type="dxa" w:w="1587"/>
          </w:tcPr>
          <w:p>
            <w:pPr>
              <w:spacing w:line="240" w:lineRule="auto" w:after="60" w:before="60"/>
              <w:ind w:firstLine="0"/>
              <w:jc w:val="left"/>
            </w:pPr>
            <w:r/>
            <w:r>
              <w:rPr>
                <w:rFonts w:ascii="Times New Roman" w:hAnsi="Times New Roman" w:cs="Times New Roman" w:eastAsia="Times New Roman"/>
                <w:b w:val="0"/>
                <w:sz w:val="20"/>
              </w:rPr>
              <w:t>Diseñador UX</w:t>
            </w:r>
          </w:p>
        </w:tc>
        <w:tc>
          <w:tcPr>
            <w:tcW w:type="dxa" w:w="850"/>
          </w:tcPr>
          <w:p>
            <w:pPr>
              <w:spacing w:line="240" w:lineRule="auto" w:after="60" w:before="60"/>
              <w:ind w:firstLine="0"/>
              <w:jc w:val="left"/>
            </w:pPr>
            <w:r/>
            <w:r>
              <w:rPr>
                <w:rFonts w:ascii="Times New Roman" w:hAnsi="Times New Roman" w:cs="Times New Roman" w:eastAsia="Times New Roman"/>
                <w:b w:val="0"/>
                <w:sz w:val="20"/>
              </w:rPr>
              <w:t>8</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19</w:t>
            </w:r>
          </w:p>
        </w:tc>
        <w:tc>
          <w:tcPr>
            <w:tcW w:type="dxa" w:w="3175"/>
          </w:tcPr>
          <w:p>
            <w:pPr>
              <w:spacing w:line="240" w:lineRule="auto" w:after="60" w:before="60"/>
              <w:ind w:firstLine="0"/>
              <w:jc w:val="left"/>
            </w:pPr>
            <w:r/>
            <w:r>
              <w:rPr>
                <w:rFonts w:ascii="Times New Roman" w:hAnsi="Times New Roman" w:cs="Times New Roman" w:eastAsia="Times New Roman"/>
                <w:b w:val="0"/>
                <w:sz w:val="20"/>
              </w:rPr>
              <w:t>Modelado de base de datos y esquema en Supabase</w:t>
            </w:r>
          </w:p>
        </w:tc>
        <w:tc>
          <w:tcPr>
            <w:tcW w:type="dxa" w:w="1077"/>
          </w:tcPr>
          <w:p>
            <w:pPr>
              <w:spacing w:line="240" w:lineRule="auto" w:after="60" w:before="60"/>
              <w:ind w:firstLine="0"/>
              <w:jc w:val="left"/>
            </w:pPr>
            <w:r/>
            <w:r>
              <w:rPr>
                <w:rFonts w:ascii="Times New Roman" w:hAnsi="Times New Roman" w:cs="Times New Roman" w:eastAsia="Times New Roman"/>
                <w:b w:val="0"/>
                <w:sz w:val="20"/>
              </w:rPr>
              <w:t>5</w:t>
            </w:r>
          </w:p>
        </w:tc>
        <w:tc>
          <w:tcPr>
            <w:tcW w:type="dxa" w:w="1247"/>
          </w:tcPr>
          <w:p>
            <w:pPr>
              <w:spacing w:line="240" w:lineRule="auto" w:after="60" w:before="60"/>
              <w:ind w:firstLine="0"/>
              <w:jc w:val="left"/>
            </w:pPr>
            <w:r/>
            <w:r>
              <w:rPr>
                <w:rFonts w:ascii="Times New Roman" w:hAnsi="Times New Roman" w:cs="Times New Roman" w:eastAsia="Times New Roman"/>
                <w:b w:val="0"/>
                <w:sz w:val="20"/>
              </w:rPr>
              <w:t>16</w:t>
            </w:r>
          </w:p>
        </w:tc>
        <w:tc>
          <w:tcPr>
            <w:tcW w:type="dxa" w:w="1587"/>
          </w:tcPr>
          <w:p>
            <w:pPr>
              <w:spacing w:line="240" w:lineRule="auto" w:after="60" w:before="60"/>
              <w:ind w:firstLine="0"/>
              <w:jc w:val="left"/>
            </w:pPr>
            <w:r/>
            <w:r>
              <w:rPr>
                <w:rFonts w:ascii="Times New Roman" w:hAnsi="Times New Roman" w:cs="Times New Roman" w:eastAsia="Times New Roman"/>
                <w:b w:val="0"/>
                <w:sz w:val="20"/>
              </w:rPr>
              <w:t>Líder técnico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20</w:t>
            </w:r>
          </w:p>
        </w:tc>
        <w:tc>
          <w:tcPr>
            <w:tcW w:type="dxa" w:w="3175"/>
          </w:tcPr>
          <w:p>
            <w:pPr>
              <w:spacing w:line="240" w:lineRule="auto" w:after="60" w:before="60"/>
              <w:ind w:firstLine="0"/>
              <w:jc w:val="left"/>
            </w:pPr>
            <w:r/>
            <w:r>
              <w:rPr>
                <w:rFonts w:ascii="Times New Roman" w:hAnsi="Times New Roman" w:cs="Times New Roman" w:eastAsia="Times New Roman"/>
                <w:b w:val="0"/>
                <w:sz w:val="20"/>
              </w:rPr>
              <w:t>Desarrollo del backend y API REST</w:t>
            </w:r>
          </w:p>
        </w:tc>
        <w:tc>
          <w:tcPr>
            <w:tcW w:type="dxa" w:w="1077"/>
          </w:tcPr>
          <w:p>
            <w:pPr>
              <w:spacing w:line="240" w:lineRule="auto" w:after="60" w:before="60"/>
              <w:ind w:firstLine="0"/>
              <w:jc w:val="left"/>
            </w:pPr>
            <w:r/>
            <w:r>
              <w:rPr>
                <w:rFonts w:ascii="Times New Roman" w:hAnsi="Times New Roman" w:cs="Times New Roman" w:eastAsia="Times New Roman"/>
                <w:b w:val="0"/>
                <w:sz w:val="20"/>
              </w:rPr>
              <w:t>15</w:t>
            </w:r>
          </w:p>
        </w:tc>
        <w:tc>
          <w:tcPr>
            <w:tcW w:type="dxa" w:w="1247"/>
          </w:tcPr>
          <w:p>
            <w:pPr>
              <w:spacing w:line="240" w:lineRule="auto" w:after="60" w:before="60"/>
              <w:ind w:firstLine="0"/>
              <w:jc w:val="left"/>
            </w:pPr>
            <w:r/>
            <w:r>
              <w:rPr>
                <w:rFonts w:ascii="Times New Roman" w:hAnsi="Times New Roman" w:cs="Times New Roman" w:eastAsia="Times New Roman"/>
                <w:b w:val="0"/>
                <w:sz w:val="20"/>
              </w:rPr>
              <w:t>19</w:t>
            </w:r>
          </w:p>
        </w:tc>
        <w:tc>
          <w:tcPr>
            <w:tcW w:type="dxa" w:w="1587"/>
          </w:tcPr>
          <w:p>
            <w:pPr>
              <w:spacing w:line="240" w:lineRule="auto" w:after="60" w:before="60"/>
              <w:ind w:firstLine="0"/>
              <w:jc w:val="left"/>
            </w:pPr>
            <w:r/>
            <w:r>
              <w:rPr>
                <w:rFonts w:ascii="Times New Roman" w:hAnsi="Times New Roman" w:cs="Times New Roman" w:eastAsia="Times New Roman"/>
                <w:b w:val="0"/>
                <w:sz w:val="20"/>
              </w:rPr>
              <w:t>Desarrollador backend</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21</w:t>
            </w:r>
          </w:p>
        </w:tc>
        <w:tc>
          <w:tcPr>
            <w:tcW w:type="dxa" w:w="3175"/>
          </w:tcPr>
          <w:p>
            <w:pPr>
              <w:spacing w:line="240" w:lineRule="auto" w:after="60" w:before="60"/>
              <w:ind w:firstLine="0"/>
              <w:jc w:val="left"/>
            </w:pPr>
            <w:r/>
            <w:r>
              <w:rPr>
                <w:rFonts w:ascii="Times New Roman" w:hAnsi="Times New Roman" w:cs="Times New Roman" w:eastAsia="Times New Roman"/>
                <w:b w:val="0"/>
                <w:sz w:val="20"/>
              </w:rPr>
              <w:t>Desarrollo del frontend web</w:t>
            </w:r>
          </w:p>
        </w:tc>
        <w:tc>
          <w:tcPr>
            <w:tcW w:type="dxa" w:w="1077"/>
          </w:tcPr>
          <w:p>
            <w:pPr>
              <w:spacing w:line="240" w:lineRule="auto" w:after="60" w:before="60"/>
              <w:ind w:firstLine="0"/>
              <w:jc w:val="left"/>
            </w:pPr>
            <w:r/>
            <w:r>
              <w:rPr>
                <w:rFonts w:ascii="Times New Roman" w:hAnsi="Times New Roman" w:cs="Times New Roman" w:eastAsia="Times New Roman"/>
                <w:b w:val="0"/>
                <w:sz w:val="20"/>
              </w:rPr>
              <w:t>15</w:t>
            </w:r>
          </w:p>
        </w:tc>
        <w:tc>
          <w:tcPr>
            <w:tcW w:type="dxa" w:w="1247"/>
          </w:tcPr>
          <w:p>
            <w:pPr>
              <w:spacing w:line="240" w:lineRule="auto" w:after="60" w:before="60"/>
              <w:ind w:firstLine="0"/>
              <w:jc w:val="left"/>
            </w:pPr>
            <w:r/>
            <w:r>
              <w:rPr>
                <w:rFonts w:ascii="Times New Roman" w:hAnsi="Times New Roman" w:cs="Times New Roman" w:eastAsia="Times New Roman"/>
                <w:b w:val="0"/>
                <w:sz w:val="20"/>
              </w:rPr>
              <w:t>18, 20</w:t>
            </w:r>
          </w:p>
        </w:tc>
        <w:tc>
          <w:tcPr>
            <w:tcW w:type="dxa" w:w="1587"/>
          </w:tcPr>
          <w:p>
            <w:pPr>
              <w:spacing w:line="240" w:lineRule="auto" w:after="60" w:before="60"/>
              <w:ind w:firstLine="0"/>
              <w:jc w:val="left"/>
            </w:pPr>
            <w:r/>
            <w:r>
              <w:rPr>
                <w:rFonts w:ascii="Times New Roman" w:hAnsi="Times New Roman" w:cs="Times New Roman" w:eastAsia="Times New Roman"/>
                <w:b w:val="0"/>
                <w:sz w:val="20"/>
              </w:rPr>
              <w:t>Desarrollador frontend</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22</w:t>
            </w:r>
          </w:p>
        </w:tc>
        <w:tc>
          <w:tcPr>
            <w:tcW w:type="dxa" w:w="3175"/>
          </w:tcPr>
          <w:p>
            <w:pPr>
              <w:spacing w:line="240" w:lineRule="auto" w:after="60" w:before="60"/>
              <w:ind w:firstLine="0"/>
              <w:jc w:val="left"/>
            </w:pPr>
            <w:r/>
            <w:r>
              <w:rPr>
                <w:rFonts w:ascii="Times New Roman" w:hAnsi="Times New Roman" w:cs="Times New Roman" w:eastAsia="Times New Roman"/>
                <w:b w:val="0"/>
                <w:sz w:val="20"/>
              </w:rPr>
              <w:t>Desarrollo de la aplicación móvil</w:t>
            </w:r>
          </w:p>
        </w:tc>
        <w:tc>
          <w:tcPr>
            <w:tcW w:type="dxa" w:w="1077"/>
          </w:tcPr>
          <w:p>
            <w:pPr>
              <w:spacing w:line="240" w:lineRule="auto" w:after="60" w:before="60"/>
              <w:ind w:firstLine="0"/>
              <w:jc w:val="left"/>
            </w:pPr>
            <w:r/>
            <w:r>
              <w:rPr>
                <w:rFonts w:ascii="Times New Roman" w:hAnsi="Times New Roman" w:cs="Times New Roman" w:eastAsia="Times New Roman"/>
                <w:b w:val="0"/>
                <w:sz w:val="20"/>
              </w:rPr>
              <w:t>12</w:t>
            </w:r>
          </w:p>
        </w:tc>
        <w:tc>
          <w:tcPr>
            <w:tcW w:type="dxa" w:w="1247"/>
          </w:tcPr>
          <w:p>
            <w:pPr>
              <w:spacing w:line="240" w:lineRule="auto" w:after="60" w:before="60"/>
              <w:ind w:firstLine="0"/>
              <w:jc w:val="left"/>
            </w:pPr>
            <w:r/>
            <w:r>
              <w:rPr>
                <w:rFonts w:ascii="Times New Roman" w:hAnsi="Times New Roman" w:cs="Times New Roman" w:eastAsia="Times New Roman"/>
                <w:b w:val="0"/>
                <w:sz w:val="20"/>
              </w:rPr>
              <w:t>20</w:t>
            </w:r>
          </w:p>
        </w:tc>
        <w:tc>
          <w:tcPr>
            <w:tcW w:type="dxa" w:w="1587"/>
          </w:tcPr>
          <w:p>
            <w:pPr>
              <w:spacing w:line="240" w:lineRule="auto" w:after="60" w:before="60"/>
              <w:ind w:firstLine="0"/>
              <w:jc w:val="left"/>
            </w:pPr>
            <w:r/>
            <w:r>
              <w:rPr>
                <w:rFonts w:ascii="Times New Roman" w:hAnsi="Times New Roman" w:cs="Times New Roman" w:eastAsia="Times New Roman"/>
                <w:b w:val="0"/>
                <w:sz w:val="20"/>
              </w:rPr>
              <w:t>Desarrollador móvil</w:t>
            </w:r>
          </w:p>
        </w:tc>
        <w:tc>
          <w:tcPr>
            <w:tcW w:type="dxa" w:w="850"/>
          </w:tcPr>
          <w:p>
            <w:pPr>
              <w:spacing w:line="240" w:lineRule="auto" w:after="60" w:before="60"/>
              <w:ind w:firstLine="0"/>
              <w:jc w:val="left"/>
            </w:pPr>
            <w:r/>
            <w:r>
              <w:rPr>
                <w:rFonts w:ascii="Times New Roman" w:hAnsi="Times New Roman" w:cs="Times New Roman" w:eastAsia="Times New Roman"/>
                <w:b w:val="0"/>
                <w:sz w:val="20"/>
              </w:rPr>
              <w:t>9</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23</w:t>
            </w:r>
          </w:p>
        </w:tc>
        <w:tc>
          <w:tcPr>
            <w:tcW w:type="dxa" w:w="3175"/>
          </w:tcPr>
          <w:p>
            <w:pPr>
              <w:spacing w:line="240" w:lineRule="auto" w:after="60" w:before="60"/>
              <w:ind w:firstLine="0"/>
              <w:jc w:val="left"/>
            </w:pPr>
            <w:r/>
            <w:r>
              <w:rPr>
                <w:rFonts w:ascii="Times New Roman" w:hAnsi="Times New Roman" w:cs="Times New Roman" w:eastAsia="Times New Roman"/>
                <w:b w:val="0"/>
                <w:sz w:val="20"/>
              </w:rPr>
              <w:t>Implementación del módulo de notificaciones programadas</w:t>
            </w:r>
          </w:p>
        </w:tc>
        <w:tc>
          <w:tcPr>
            <w:tcW w:type="dxa" w:w="1077"/>
          </w:tcPr>
          <w:p>
            <w:pPr>
              <w:spacing w:line="240" w:lineRule="auto" w:after="60" w:before="60"/>
              <w:ind w:firstLine="0"/>
              <w:jc w:val="left"/>
            </w:pPr>
            <w:r/>
            <w:r>
              <w:rPr>
                <w:rFonts w:ascii="Times New Roman" w:hAnsi="Times New Roman" w:cs="Times New Roman" w:eastAsia="Times New Roman"/>
                <w:b w:val="0"/>
                <w:sz w:val="20"/>
              </w:rPr>
              <w:t>6</w:t>
            </w:r>
          </w:p>
        </w:tc>
        <w:tc>
          <w:tcPr>
            <w:tcW w:type="dxa" w:w="1247"/>
          </w:tcPr>
          <w:p>
            <w:pPr>
              <w:spacing w:line="240" w:lineRule="auto" w:after="60" w:before="60"/>
              <w:ind w:firstLine="0"/>
              <w:jc w:val="left"/>
            </w:pPr>
            <w:r/>
            <w:r>
              <w:rPr>
                <w:rFonts w:ascii="Times New Roman" w:hAnsi="Times New Roman" w:cs="Times New Roman" w:eastAsia="Times New Roman"/>
                <w:b w:val="0"/>
                <w:sz w:val="20"/>
              </w:rPr>
              <w:t>20</w:t>
            </w:r>
          </w:p>
        </w:tc>
        <w:tc>
          <w:tcPr>
            <w:tcW w:type="dxa" w:w="1587"/>
          </w:tcPr>
          <w:p>
            <w:pPr>
              <w:spacing w:line="240" w:lineRule="auto" w:after="60" w:before="60"/>
              <w:ind w:firstLine="0"/>
              <w:jc w:val="left"/>
            </w:pPr>
            <w:r/>
            <w:r>
              <w:rPr>
                <w:rFonts w:ascii="Times New Roman" w:hAnsi="Times New Roman" w:cs="Times New Roman" w:eastAsia="Times New Roman"/>
                <w:b w:val="0"/>
                <w:sz w:val="20"/>
              </w:rPr>
              <w:t>Desarrollador backend</w:t>
            </w:r>
          </w:p>
        </w:tc>
        <w:tc>
          <w:tcPr>
            <w:tcW w:type="dxa" w:w="850"/>
          </w:tcPr>
          <w:p>
            <w:pPr>
              <w:spacing w:line="240" w:lineRule="auto" w:after="60" w:before="60"/>
              <w:ind w:firstLine="0"/>
              <w:jc w:val="left"/>
            </w:pPr>
            <w:r/>
            <w:r>
              <w:rPr>
                <w:rFonts w:ascii="Times New Roman" w:hAnsi="Times New Roman" w:cs="Times New Roman" w:eastAsia="Times New Roman"/>
                <w:b w:val="0"/>
                <w:sz w:val="20"/>
              </w:rPr>
              <w:t>15</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24</w:t>
            </w:r>
          </w:p>
        </w:tc>
        <w:tc>
          <w:tcPr>
            <w:tcW w:type="dxa" w:w="3175"/>
          </w:tcPr>
          <w:p>
            <w:pPr>
              <w:spacing w:line="240" w:lineRule="auto" w:after="60" w:before="60"/>
              <w:ind w:firstLine="0"/>
              <w:jc w:val="left"/>
            </w:pPr>
            <w:r/>
            <w:r>
              <w:rPr>
                <w:rFonts w:ascii="Times New Roman" w:hAnsi="Times New Roman" w:cs="Times New Roman" w:eastAsia="Times New Roman"/>
                <w:b w:val="0"/>
                <w:sz w:val="20"/>
              </w:rPr>
              <w:t>Integración de la pasarela de pagos</w:t>
            </w:r>
          </w:p>
        </w:tc>
        <w:tc>
          <w:tcPr>
            <w:tcW w:type="dxa" w:w="1077"/>
          </w:tcPr>
          <w:p>
            <w:pPr>
              <w:spacing w:line="240" w:lineRule="auto" w:after="60" w:before="60"/>
              <w:ind w:firstLine="0"/>
              <w:jc w:val="left"/>
            </w:pPr>
            <w:r/>
            <w:r>
              <w:rPr>
                <w:rFonts w:ascii="Times New Roman" w:hAnsi="Times New Roman" w:cs="Times New Roman" w:eastAsia="Times New Roman"/>
                <w:b w:val="0"/>
                <w:sz w:val="20"/>
              </w:rPr>
              <w:t>6</w:t>
            </w:r>
          </w:p>
        </w:tc>
        <w:tc>
          <w:tcPr>
            <w:tcW w:type="dxa" w:w="1247"/>
          </w:tcPr>
          <w:p>
            <w:pPr>
              <w:spacing w:line="240" w:lineRule="auto" w:after="60" w:before="60"/>
              <w:ind w:firstLine="0"/>
              <w:jc w:val="left"/>
            </w:pPr>
            <w:r/>
            <w:r>
              <w:rPr>
                <w:rFonts w:ascii="Times New Roman" w:hAnsi="Times New Roman" w:cs="Times New Roman" w:eastAsia="Times New Roman"/>
                <w:b w:val="0"/>
                <w:sz w:val="20"/>
              </w:rPr>
              <w:t>21</w:t>
            </w:r>
          </w:p>
        </w:tc>
        <w:tc>
          <w:tcPr>
            <w:tcW w:type="dxa" w:w="1587"/>
          </w:tcPr>
          <w:p>
            <w:pPr>
              <w:spacing w:line="240" w:lineRule="auto" w:after="60" w:before="60"/>
              <w:ind w:firstLine="0"/>
              <w:jc w:val="left"/>
            </w:pPr>
            <w:r/>
            <w:r>
              <w:rPr>
                <w:rFonts w:ascii="Times New Roman" w:hAnsi="Times New Roman" w:cs="Times New Roman" w:eastAsia="Times New Roman"/>
                <w:b w:val="0"/>
                <w:sz w:val="20"/>
              </w:rPr>
              <w:t>Desarrollador backend</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25</w:t>
            </w:r>
          </w:p>
        </w:tc>
        <w:tc>
          <w:tcPr>
            <w:tcW w:type="dxa" w:w="3175"/>
          </w:tcPr>
          <w:p>
            <w:pPr>
              <w:spacing w:line="240" w:lineRule="auto" w:after="60" w:before="60"/>
              <w:ind w:firstLine="0"/>
              <w:jc w:val="left"/>
            </w:pPr>
            <w:r/>
            <w:r>
              <w:rPr>
                <w:rFonts w:ascii="Times New Roman" w:hAnsi="Times New Roman" w:cs="Times New Roman" w:eastAsia="Times New Roman"/>
                <w:b w:val="0"/>
                <w:sz w:val="20"/>
              </w:rPr>
              <w:t>Pruebas funcionales y de integración</w:t>
            </w:r>
          </w:p>
        </w:tc>
        <w:tc>
          <w:tcPr>
            <w:tcW w:type="dxa" w:w="1077"/>
          </w:tcPr>
          <w:p>
            <w:pPr>
              <w:spacing w:line="240" w:lineRule="auto" w:after="60" w:before="60"/>
              <w:ind w:firstLine="0"/>
              <w:jc w:val="left"/>
            </w:pPr>
            <w:r/>
            <w:r>
              <w:rPr>
                <w:rFonts w:ascii="Times New Roman" w:hAnsi="Times New Roman" w:cs="Times New Roman" w:eastAsia="Times New Roman"/>
                <w:b w:val="0"/>
                <w:sz w:val="20"/>
              </w:rPr>
              <w:t>8</w:t>
            </w:r>
          </w:p>
        </w:tc>
        <w:tc>
          <w:tcPr>
            <w:tcW w:type="dxa" w:w="1247"/>
          </w:tcPr>
          <w:p>
            <w:pPr>
              <w:spacing w:line="240" w:lineRule="auto" w:after="60" w:before="60"/>
              <w:ind w:firstLine="0"/>
              <w:jc w:val="left"/>
            </w:pPr>
            <w:r/>
            <w:r>
              <w:rPr>
                <w:rFonts w:ascii="Times New Roman" w:hAnsi="Times New Roman" w:cs="Times New Roman" w:eastAsia="Times New Roman"/>
                <w:b w:val="0"/>
                <w:sz w:val="20"/>
              </w:rPr>
              <w:t>21, 22, 23, 24</w:t>
            </w:r>
          </w:p>
        </w:tc>
        <w:tc>
          <w:tcPr>
            <w:tcW w:type="dxa" w:w="1587"/>
          </w:tcPr>
          <w:p>
            <w:pPr>
              <w:spacing w:line="240" w:lineRule="auto" w:after="60" w:before="60"/>
              <w:ind w:firstLine="0"/>
              <w:jc w:val="left"/>
            </w:pPr>
            <w:r/>
            <w:r>
              <w:rPr>
                <w:rFonts w:ascii="Times New Roman" w:hAnsi="Times New Roman" w:cs="Times New Roman" w:eastAsia="Times New Roman"/>
                <w:b w:val="0"/>
                <w:sz w:val="20"/>
              </w:rPr>
              <w:t>Líder técnico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26</w:t>
            </w:r>
          </w:p>
        </w:tc>
        <w:tc>
          <w:tcPr>
            <w:tcW w:type="dxa" w:w="3175"/>
          </w:tcPr>
          <w:p>
            <w:pPr>
              <w:spacing w:line="240" w:lineRule="auto" w:after="60" w:before="60"/>
              <w:ind w:firstLine="0"/>
              <w:jc w:val="left"/>
            </w:pPr>
            <w:r/>
            <w:r>
              <w:rPr>
                <w:rFonts w:ascii="Times New Roman" w:hAnsi="Times New Roman" w:cs="Times New Roman" w:eastAsia="Times New Roman"/>
                <w:b w:val="0"/>
                <w:sz w:val="20"/>
              </w:rPr>
              <w:t>Políticas de tratamiento de datos y registro RNBD ante la SIC</w:t>
            </w:r>
          </w:p>
        </w:tc>
        <w:tc>
          <w:tcPr>
            <w:tcW w:type="dxa" w:w="1077"/>
          </w:tcPr>
          <w:p>
            <w:pPr>
              <w:spacing w:line="240" w:lineRule="auto" w:after="60" w:before="60"/>
              <w:ind w:firstLine="0"/>
              <w:jc w:val="left"/>
            </w:pPr>
            <w:r/>
            <w:r>
              <w:rPr>
                <w:rFonts w:ascii="Times New Roman" w:hAnsi="Times New Roman" w:cs="Times New Roman" w:eastAsia="Times New Roman"/>
                <w:b w:val="0"/>
                <w:sz w:val="20"/>
              </w:rPr>
              <w:t>6</w:t>
            </w:r>
          </w:p>
        </w:tc>
        <w:tc>
          <w:tcPr>
            <w:tcW w:type="dxa" w:w="1247"/>
          </w:tcPr>
          <w:p>
            <w:pPr>
              <w:spacing w:line="240" w:lineRule="auto" w:after="60" w:before="60"/>
              <w:ind w:firstLine="0"/>
              <w:jc w:val="left"/>
            </w:pPr>
            <w:r/>
            <w:r>
              <w:rPr>
                <w:rFonts w:ascii="Times New Roman" w:hAnsi="Times New Roman" w:cs="Times New Roman" w:eastAsia="Times New Roman"/>
                <w:b w:val="0"/>
                <w:sz w:val="20"/>
              </w:rPr>
              <w:t>24</w:t>
            </w:r>
          </w:p>
        </w:tc>
        <w:tc>
          <w:tcPr>
            <w:tcW w:type="dxa" w:w="1587"/>
          </w:tcPr>
          <w:p>
            <w:pPr>
              <w:spacing w:line="240" w:lineRule="auto" w:after="60" w:before="60"/>
              <w:ind w:firstLine="0"/>
              <w:jc w:val="left"/>
            </w:pPr>
            <w:r/>
            <w:r>
              <w:rPr>
                <w:rFonts w:ascii="Times New Roman" w:hAnsi="Times New Roman" w:cs="Times New Roman" w:eastAsia="Times New Roman"/>
                <w:b w:val="0"/>
                <w:sz w:val="20"/>
              </w:rPr>
              <w:t>Analista legal</w:t>
            </w:r>
          </w:p>
        </w:tc>
        <w:tc>
          <w:tcPr>
            <w:tcW w:type="dxa" w:w="850"/>
          </w:tcPr>
          <w:p>
            <w:pPr>
              <w:spacing w:line="240" w:lineRule="auto" w:after="60" w:before="60"/>
              <w:ind w:firstLine="0"/>
              <w:jc w:val="left"/>
            </w:pPr>
            <w:r/>
            <w:r>
              <w:rPr>
                <w:rFonts w:ascii="Times New Roman" w:hAnsi="Times New Roman" w:cs="Times New Roman" w:eastAsia="Times New Roman"/>
                <w:b w:val="0"/>
                <w:sz w:val="20"/>
              </w:rPr>
              <w:t>2</w:t>
            </w:r>
          </w:p>
        </w:tc>
        <w:tc>
          <w:tcPr>
            <w:tcW w:type="dxa" w:w="850"/>
          </w:tcPr>
          <w:p>
            <w:pPr>
              <w:spacing w:line="240" w:lineRule="auto" w:after="60" w:before="60"/>
              <w:ind w:firstLine="0"/>
              <w:jc w:val="left"/>
            </w:pPr>
            <w:r/>
            <w:r>
              <w:rPr>
                <w:rFonts w:ascii="Times New Roman" w:hAnsi="Times New Roman" w:cs="Times New Roman" w:eastAsia="Times New Roman"/>
                <w:b w:val="0"/>
                <w:sz w:val="20"/>
              </w:rPr>
              <w:t>No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27</w:t>
            </w:r>
          </w:p>
        </w:tc>
        <w:tc>
          <w:tcPr>
            <w:tcW w:type="dxa" w:w="3175"/>
          </w:tcPr>
          <w:p>
            <w:pPr>
              <w:spacing w:line="240" w:lineRule="auto" w:after="60" w:before="60"/>
              <w:ind w:firstLine="0"/>
              <w:jc w:val="left"/>
            </w:pPr>
            <w:r/>
            <w:r>
              <w:rPr>
                <w:rFonts w:ascii="Times New Roman" w:hAnsi="Times New Roman" w:cs="Times New Roman" w:eastAsia="Times New Roman"/>
                <w:b w:val="0"/>
                <w:sz w:val="20"/>
              </w:rPr>
              <w:t>Prueba piloto (beta) con usuarios reales</w:t>
            </w:r>
          </w:p>
        </w:tc>
        <w:tc>
          <w:tcPr>
            <w:tcW w:type="dxa" w:w="1077"/>
          </w:tcPr>
          <w:p>
            <w:pPr>
              <w:spacing w:line="240" w:lineRule="auto" w:after="60" w:before="60"/>
              <w:ind w:firstLine="0"/>
              <w:jc w:val="left"/>
            </w:pPr>
            <w:r/>
            <w:r>
              <w:rPr>
                <w:rFonts w:ascii="Times New Roman" w:hAnsi="Times New Roman" w:cs="Times New Roman" w:eastAsia="Times New Roman"/>
                <w:b w:val="0"/>
                <w:sz w:val="20"/>
              </w:rPr>
              <w:t>10</w:t>
            </w:r>
          </w:p>
        </w:tc>
        <w:tc>
          <w:tcPr>
            <w:tcW w:type="dxa" w:w="1247"/>
          </w:tcPr>
          <w:p>
            <w:pPr>
              <w:spacing w:line="240" w:lineRule="auto" w:after="60" w:before="60"/>
              <w:ind w:firstLine="0"/>
              <w:jc w:val="left"/>
            </w:pPr>
            <w:r/>
            <w:r>
              <w:rPr>
                <w:rFonts w:ascii="Times New Roman" w:hAnsi="Times New Roman" w:cs="Times New Roman" w:eastAsia="Times New Roman"/>
                <w:b w:val="0"/>
                <w:sz w:val="20"/>
              </w:rPr>
              <w:t>25, 26</w:t>
            </w:r>
          </w:p>
        </w:tc>
        <w:tc>
          <w:tcPr>
            <w:tcW w:type="dxa" w:w="1587"/>
          </w:tcPr>
          <w:p>
            <w:pPr>
              <w:spacing w:line="240" w:lineRule="auto" w:after="60" w:before="60"/>
              <w:ind w:firstLine="0"/>
              <w:jc w:val="left"/>
            </w:pPr>
            <w:r/>
            <w:r>
              <w:rPr>
                <w:rFonts w:ascii="Times New Roman" w:hAnsi="Times New Roman" w:cs="Times New Roman" w:eastAsia="Times New Roman"/>
                <w:b w:val="0"/>
                <w:sz w:val="20"/>
              </w:rPr>
              <w:t>Equipo completo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28</w:t>
            </w:r>
          </w:p>
        </w:tc>
        <w:tc>
          <w:tcPr>
            <w:tcW w:type="dxa" w:w="3175"/>
          </w:tcPr>
          <w:p>
            <w:pPr>
              <w:spacing w:line="240" w:lineRule="auto" w:after="60" w:before="60"/>
              <w:ind w:firstLine="0"/>
              <w:jc w:val="left"/>
            </w:pPr>
            <w:r/>
            <w:r>
              <w:rPr>
                <w:rFonts w:ascii="Times New Roman" w:hAnsi="Times New Roman" w:cs="Times New Roman" w:eastAsia="Times New Roman"/>
                <w:b w:val="0"/>
                <w:sz w:val="20"/>
              </w:rPr>
              <w:t>Evaluación financiera y consolidación de la Entrega 2</w:t>
            </w:r>
          </w:p>
        </w:tc>
        <w:tc>
          <w:tcPr>
            <w:tcW w:type="dxa" w:w="1077"/>
          </w:tcPr>
          <w:p>
            <w:pPr>
              <w:spacing w:line="240" w:lineRule="auto" w:after="60" w:before="60"/>
              <w:ind w:firstLine="0"/>
              <w:jc w:val="left"/>
            </w:pPr>
            <w:r/>
            <w:r>
              <w:rPr>
                <w:rFonts w:ascii="Times New Roman" w:hAnsi="Times New Roman" w:cs="Times New Roman" w:eastAsia="Times New Roman"/>
                <w:b w:val="0"/>
                <w:sz w:val="20"/>
              </w:rPr>
              <w:t>7</w:t>
            </w:r>
          </w:p>
        </w:tc>
        <w:tc>
          <w:tcPr>
            <w:tcW w:type="dxa" w:w="1247"/>
          </w:tcPr>
          <w:p>
            <w:pPr>
              <w:spacing w:line="240" w:lineRule="auto" w:after="60" w:before="60"/>
              <w:ind w:firstLine="0"/>
              <w:jc w:val="left"/>
            </w:pPr>
            <w:r/>
            <w:r>
              <w:rPr>
                <w:rFonts w:ascii="Times New Roman" w:hAnsi="Times New Roman" w:cs="Times New Roman" w:eastAsia="Times New Roman"/>
                <w:b w:val="0"/>
                <w:sz w:val="20"/>
              </w:rPr>
              <w:t>27</w:t>
            </w:r>
          </w:p>
        </w:tc>
        <w:tc>
          <w:tcPr>
            <w:tcW w:type="dxa" w:w="1587"/>
          </w:tcPr>
          <w:p>
            <w:pPr>
              <w:spacing w:line="240" w:lineRule="auto" w:after="60" w:before="60"/>
              <w:ind w:firstLine="0"/>
              <w:jc w:val="left"/>
            </w:pPr>
            <w:r/>
            <w:r>
              <w:rPr>
                <w:rFonts w:ascii="Times New Roman" w:hAnsi="Times New Roman" w:cs="Times New Roman" w:eastAsia="Times New Roman"/>
                <w:b w:val="0"/>
                <w:sz w:val="20"/>
              </w:rPr>
              <w:t>Director de proyecto</w:t>
            </w:r>
          </w:p>
        </w:tc>
        <w:tc>
          <w:tcPr>
            <w:tcW w:type="dxa" w:w="850"/>
          </w:tcPr>
          <w:p>
            <w:pPr>
              <w:spacing w:line="240" w:lineRule="auto" w:after="60" w:before="60"/>
              <w:ind w:firstLine="0"/>
              <w:jc w:val="left"/>
            </w:pPr>
            <w:r/>
            <w:r>
              <w:rPr>
                <w:rFonts w:ascii="Times New Roman" w:hAnsi="Times New Roman" w:cs="Times New Roman" w:eastAsia="Times New Roman"/>
                <w:b w:val="0"/>
                <w:sz w:val="20"/>
              </w:rPr>
              <w:t>0</w:t>
            </w:r>
          </w:p>
        </w:tc>
        <w:tc>
          <w:tcPr>
            <w:tcW w:type="dxa" w:w="850"/>
          </w:tcPr>
          <w:p>
            <w:pPr>
              <w:spacing w:line="240" w:lineRule="auto" w:after="60" w:before="60"/>
              <w:ind w:firstLine="0"/>
              <w:jc w:val="left"/>
            </w:pPr>
            <w:r/>
            <w:r>
              <w:rPr>
                <w:rFonts w:ascii="Times New Roman" w:hAnsi="Times New Roman" w:cs="Times New Roman" w:eastAsia="Times New Roman"/>
                <w:b w:val="0"/>
                <w:sz w:val="20"/>
              </w:rPr>
              <w:t>Sí</w:t>
            </w:r>
          </w:p>
        </w:tc>
      </w:tr>
    </w:tbl>
    <w:p/>
    <w:p>
      <w:pPr>
        <w:pStyle w:val="Heading2"/>
      </w:pPr>
      <w:r>
        <w:t>Ruta crítica</w:t>
      </w:r>
    </w:p>
    <w:p>
      <w:r>
        <w:t>La ruta crítica es 1, 2, 3, 7, 10, 11, 12, 13, 15, 16, 19, 20, 21, 24, 25, 27 y 28. Si cualquiera de esas 17 actividades se atrasa, la fecha de terminación del proyecto se corre día por día.</w:t>
      </w:r>
    </w:p>
    <w:p>
      <w:r>
        <w:t>Del cálculo salen dos observaciones que sirven para gestionar. La primera es que el desarrollo del frontend web, la actividad 21, está en la ruta crítica, mientras que el de la aplicación móvil, la 22, tiene 9 días de holgura. Si algo se atrasa, conviene mover esfuerzo de móvil hacia web y no al revés. La segunda es que la actividad con más holgura, 15 días, es la implementación de notificaciones, la 23, que a la vez es la funcionalidad que sostiene la propuesta de valor. La holgura indica margen de calendario y no poca importancia, así que no conviene leerla como permiso para dejarla siempre para después.</w:t>
      </w:r>
    </w:p>
    <w:p>
      <w:r>
        <w:t>El trabajo en paralelo se concentra en tres momentos: las actividades 6, 7 y 8 después del estado del arte, las 13 y 14 durante el trabajo de campo, y las 21, 22 y 23 durante el desarrollo.</w:t>
      </w:r>
    </w:p>
    <w:p>
      <w:r>
        <w:br w:type="page"/>
      </w:r>
    </w:p>
    <w:p>
      <w:pPr>
        <w:pStyle w:val="Heading1"/>
      </w:pPr>
      <w:r>
        <w:t>12. Conclusiones técnicas</w:t>
      </w:r>
    </w:p>
    <w:p>
      <w:pPr>
        <w:pStyle w:val="Heading2"/>
      </w:pPr>
      <w:r>
        <w:t>Viabilidad técnica preliminar</w:t>
      </w:r>
    </w:p>
    <w:p>
      <w:r>
        <w:t>El proyecto es técnicamente viable y se recomienda continuar hacia la Entrega 2. Ningún componente obliga a investigar ni a desarrollar tecnología nueva. La plataforma se arma integrando piezas maduras: React y React Native, Node.js con Express, PostgreSQL gestionado sobre Supabase, autenticación por token y un proceso programado de notificaciones. Todas tienen documentación abundante, nivel gratuito de entrada y una curva de aprendizaje razonable para estudiantes de ingeniería. Los 114 días hábiles del cronograma dan holgura para un producto mínimo viable de este tamaño, y las rutas no críticas conservan margen.</w:t>
      </w:r>
    </w:p>
    <w:p>
      <w:r>
        <w:t>Lo difícil de este proyecto está en el contenido. El diferenciador no es el motor de recordatorios, que cualquier competidor ya resolvió, sino el catálogo curado de obligaciones recurrentes colombianas: verificar ciclos, respaldarlos con la norma y actualizarlos cuando la regulación cambie. Ese trabajo es manual, no se automatiza y no termina con la entrega. Tratarlo como una simple carga de datos sería el error más caro que puede cometer el equipo.</w:t>
      </w:r>
    </w:p>
    <w:p>
      <w:pPr>
        <w:pStyle w:val="Heading2"/>
      </w:pPr>
      <w:r>
        <w:t>Riesgos principales</w:t>
      </w:r>
    </w:p>
    <w:p>
      <w:pPr>
        <w:spacing w:before="240"/>
        <w:ind w:firstLine="0"/>
      </w:pPr>
      <w:r>
        <w:rPr>
          <w:rFonts w:ascii="Times New Roman" w:hAnsi="Times New Roman" w:cs="Times New Roman" w:eastAsia="Times New Roman"/>
          <w:b/>
          <w:sz w:val="24"/>
        </w:rPr>
        <w:t>Tabla 22</w:t>
      </w:r>
    </w:p>
    <w:p>
      <w:pPr>
        <w:ind w:firstLine="0"/>
      </w:pPr>
      <w:r>
        <w:rPr>
          <w:rFonts w:ascii="Times New Roman" w:hAnsi="Times New Roman" w:cs="Times New Roman" w:eastAsia="Times New Roman"/>
          <w:i/>
          <w:sz w:val="24"/>
        </w:rPr>
        <w:t>Matriz de Riesgos del Proyecto con Medidas de Mitigación</w:t>
      </w:r>
    </w:p>
    <w:tbl>
      <w:tblPr>
        <w:tblW w:type="auto" w:w="0"/>
        <w:jc w:val="center"/>
        <w:tblLook w:firstColumn="1" w:firstRow="1" w:lastColumn="0" w:lastRow="0" w:noHBand="0" w:noVBand="1" w:val="04A0"/>
        <w:tblBorders>
          <w:top w:val="single" w:sz="6" w:color="000000"/>
          <w:left w:val="none" w:sz="0" w:color="000000"/>
          <w:bottom w:val="single" w:sz="6" w:color="000000"/>
          <w:right w:val="none" w:sz="0" w:color="000000"/>
          <w:insideH w:val="none" w:sz="0" w:color="000000"/>
          <w:insideV w:val="none" w:sz="0" w:color="000000"/>
        </w:tblBorders>
      </w:tblPr>
      <w:tblGrid>
        <w:gridCol w:w="1560"/>
        <w:gridCol w:w="1560"/>
        <w:gridCol w:w="1560"/>
        <w:gridCol w:w="1560"/>
        <w:gridCol w:w="1560"/>
        <w:gridCol w:w="1560"/>
      </w:tblGrid>
      <w:tr>
        <w:tc>
          <w:tcPr>
            <w:tcW w:type="dxa" w:w="567"/>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N.º</w:t>
            </w:r>
          </w:p>
        </w:tc>
        <w:tc>
          <w:tcPr>
            <w:tcW w:type="dxa" w:w="2268"/>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Riesgo</w:t>
            </w:r>
          </w:p>
        </w:tc>
        <w:tc>
          <w:tcPr>
            <w:tcW w:type="dxa" w:w="96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Probabilidad</w:t>
            </w:r>
          </w:p>
        </w:tc>
        <w:tc>
          <w:tcPr>
            <w:tcW w:type="dxa" w:w="79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Impacto</w:t>
            </w:r>
          </w:p>
        </w:tc>
        <w:tc>
          <w:tcPr>
            <w:tcW w:type="dxa" w:w="794"/>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Nivel</w:t>
            </w:r>
          </w:p>
        </w:tc>
        <w:tc>
          <w:tcPr>
            <w:tcW w:type="dxa" w:w="3402"/>
            <w:tcBorders>
              <w:bottom w:val="single" w:sz="6" w:color="000000"/>
            </w:tcBorders>
          </w:tcPr>
          <w:p>
            <w:pPr>
              <w:spacing w:line="240" w:lineRule="auto" w:after="60" w:before="60"/>
              <w:ind w:firstLine="0"/>
              <w:jc w:val="left"/>
            </w:pPr>
            <w:r/>
            <w:r>
              <w:rPr>
                <w:rFonts w:ascii="Times New Roman" w:hAnsi="Times New Roman" w:cs="Times New Roman" w:eastAsia="Times New Roman"/>
                <w:b/>
                <w:sz w:val="20"/>
              </w:rPr>
              <w:t>Medida de mitigación</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1</w:t>
            </w:r>
          </w:p>
        </w:tc>
        <w:tc>
          <w:tcPr>
            <w:tcW w:type="dxa" w:w="2268"/>
          </w:tcPr>
          <w:p>
            <w:pPr>
              <w:spacing w:line="240" w:lineRule="auto" w:after="60" w:before="60"/>
              <w:ind w:firstLine="0"/>
              <w:jc w:val="left"/>
            </w:pPr>
            <w:r/>
            <w:r>
              <w:rPr>
                <w:rFonts w:ascii="Times New Roman" w:hAnsi="Times New Roman" w:cs="Times New Roman" w:eastAsia="Times New Roman"/>
                <w:b w:val="0"/>
                <w:sz w:val="20"/>
              </w:rPr>
              <w:t>Fuga o tratamiento indebido de datos personales, sobre todo del módulo de salud</w:t>
            </w:r>
          </w:p>
        </w:tc>
        <w:tc>
          <w:tcPr>
            <w:tcW w:type="dxa" w:w="964"/>
          </w:tcPr>
          <w:p>
            <w:pPr>
              <w:spacing w:line="240" w:lineRule="auto" w:after="60" w:before="60"/>
              <w:ind w:firstLine="0"/>
              <w:jc w:val="left"/>
            </w:pPr>
            <w:r/>
            <w:r>
              <w:rPr>
                <w:rFonts w:ascii="Times New Roman" w:hAnsi="Times New Roman" w:cs="Times New Roman" w:eastAsia="Times New Roman"/>
                <w:b w:val="0"/>
                <w:sz w:val="20"/>
              </w:rPr>
              <w:t>Baja</w:t>
            </w:r>
          </w:p>
        </w:tc>
        <w:tc>
          <w:tcPr>
            <w:tcW w:type="dxa" w:w="794"/>
          </w:tcPr>
          <w:p>
            <w:pPr>
              <w:spacing w:line="240" w:lineRule="auto" w:after="60" w:before="60"/>
              <w:ind w:firstLine="0"/>
              <w:jc w:val="left"/>
            </w:pPr>
            <w:r/>
            <w:r>
              <w:rPr>
                <w:rFonts w:ascii="Times New Roman" w:hAnsi="Times New Roman" w:cs="Times New Roman" w:eastAsia="Times New Roman"/>
                <w:b w:val="0"/>
                <w:sz w:val="20"/>
              </w:rPr>
              <w:t>Muy alto</w:t>
            </w:r>
          </w:p>
        </w:tc>
        <w:tc>
          <w:tcPr>
            <w:tcW w:type="dxa" w:w="794"/>
          </w:tcPr>
          <w:p>
            <w:pPr>
              <w:spacing w:line="240" w:lineRule="auto" w:after="60" w:before="60"/>
              <w:ind w:firstLine="0"/>
              <w:jc w:val="left"/>
            </w:pPr>
            <w:r/>
            <w:r>
              <w:rPr>
                <w:rFonts w:ascii="Times New Roman" w:hAnsi="Times New Roman" w:cs="Times New Roman" w:eastAsia="Times New Roman"/>
                <w:b w:val="0"/>
                <w:sz w:val="20"/>
              </w:rPr>
              <w:t>Crítico</w:t>
            </w:r>
          </w:p>
        </w:tc>
        <w:tc>
          <w:tcPr>
            <w:tcW w:type="dxa" w:w="3402"/>
          </w:tcPr>
          <w:p>
            <w:pPr>
              <w:spacing w:line="240" w:lineRule="auto" w:after="60" w:before="60"/>
              <w:ind w:firstLine="0"/>
              <w:jc w:val="left"/>
            </w:pPr>
            <w:r/>
            <w:r>
              <w:rPr>
                <w:rFonts w:ascii="Times New Roman" w:hAnsi="Times New Roman" w:cs="Times New Roman" w:eastAsia="Times New Roman"/>
                <w:b w:val="0"/>
                <w:sz w:val="20"/>
              </w:rPr>
              <w:t>Cifrado en tránsito y en reposo. Autorización explícita y separada para los datos de salud. Registro en el RNBD antes del piloto, que es la actividad 26. Política de tratamiento publicada. Posibilidad de usar la plataforma sin activar el módulo de salud</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2</w:t>
            </w:r>
          </w:p>
        </w:tc>
        <w:tc>
          <w:tcPr>
            <w:tcW w:type="dxa" w:w="2268"/>
          </w:tcPr>
          <w:p>
            <w:pPr>
              <w:spacing w:line="240" w:lineRule="auto" w:after="60" w:before="60"/>
              <w:ind w:firstLine="0"/>
              <w:jc w:val="left"/>
            </w:pPr>
            <w:r/>
            <w:r>
              <w:rPr>
                <w:rFonts w:ascii="Times New Roman" w:hAnsi="Times New Roman" w:cs="Times New Roman" w:eastAsia="Times New Roman"/>
                <w:b w:val="0"/>
                <w:sz w:val="20"/>
              </w:rPr>
              <w:t>Precio premium no competitivo para el consumidor colombiano</w:t>
            </w:r>
          </w:p>
        </w:tc>
        <w:tc>
          <w:tcPr>
            <w:tcW w:type="dxa" w:w="964"/>
          </w:tcPr>
          <w:p>
            <w:pPr>
              <w:spacing w:line="240" w:lineRule="auto" w:after="60" w:before="60"/>
              <w:ind w:firstLine="0"/>
              <w:jc w:val="left"/>
            </w:pPr>
            <w:r/>
            <w:r>
              <w:rPr>
                <w:rFonts w:ascii="Times New Roman" w:hAnsi="Times New Roman" w:cs="Times New Roman" w:eastAsia="Times New Roman"/>
                <w:b w:val="0"/>
                <w:sz w:val="20"/>
              </w:rPr>
              <w:t>Alta</w:t>
            </w:r>
          </w:p>
        </w:tc>
        <w:tc>
          <w:tcPr>
            <w:tcW w:type="dxa" w:w="794"/>
          </w:tcPr>
          <w:p>
            <w:pPr>
              <w:spacing w:line="240" w:lineRule="auto" w:after="60" w:before="60"/>
              <w:ind w:firstLine="0"/>
              <w:jc w:val="left"/>
            </w:pPr>
            <w:r/>
            <w:r>
              <w:rPr>
                <w:rFonts w:ascii="Times New Roman" w:hAnsi="Times New Roman" w:cs="Times New Roman" w:eastAsia="Times New Roman"/>
                <w:b w:val="0"/>
                <w:sz w:val="20"/>
              </w:rPr>
              <w:t>Alto</w:t>
            </w:r>
          </w:p>
        </w:tc>
        <w:tc>
          <w:tcPr>
            <w:tcW w:type="dxa" w:w="794"/>
          </w:tcPr>
          <w:p>
            <w:pPr>
              <w:spacing w:line="240" w:lineRule="auto" w:after="60" w:before="60"/>
              <w:ind w:firstLine="0"/>
              <w:jc w:val="left"/>
            </w:pPr>
            <w:r/>
            <w:r>
              <w:rPr>
                <w:rFonts w:ascii="Times New Roman" w:hAnsi="Times New Roman" w:cs="Times New Roman" w:eastAsia="Times New Roman"/>
                <w:b w:val="0"/>
                <w:sz w:val="20"/>
              </w:rPr>
              <w:t>Alto</w:t>
            </w:r>
          </w:p>
        </w:tc>
        <w:tc>
          <w:tcPr>
            <w:tcW w:type="dxa" w:w="3402"/>
          </w:tcPr>
          <w:p>
            <w:pPr>
              <w:spacing w:line="240" w:lineRule="auto" w:after="60" w:before="60"/>
              <w:ind w:firstLine="0"/>
              <w:jc w:val="left"/>
            </w:pPr>
            <w:r/>
            <w:r>
              <w:rPr>
                <w:rFonts w:ascii="Times New Roman" w:hAnsi="Times New Roman" w:cs="Times New Roman" w:eastAsia="Times New Roman"/>
                <w:b w:val="0"/>
                <w:sz w:val="20"/>
              </w:rPr>
              <w:t>Fijar el precio en pesos con base en la disposición a pagar medida en campo, que es la actividad 16, y dejarlo por debajo de Todoist Pro. Mantener gratuitos los módulos de mayor impacto económico</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3</w:t>
            </w:r>
          </w:p>
        </w:tc>
        <w:tc>
          <w:tcPr>
            <w:tcW w:type="dxa" w:w="2268"/>
          </w:tcPr>
          <w:p>
            <w:pPr>
              <w:spacing w:line="240" w:lineRule="auto" w:after="60" w:before="60"/>
              <w:ind w:firstLine="0"/>
              <w:jc w:val="left"/>
            </w:pPr>
            <w:r/>
            <w:r>
              <w:rPr>
                <w:rFonts w:ascii="Times New Roman" w:hAnsi="Times New Roman" w:cs="Times New Roman" w:eastAsia="Times New Roman"/>
                <w:b w:val="0"/>
                <w:sz w:val="20"/>
              </w:rPr>
              <w:t>Un competidor consolidado incorpora plantillas locales y borra el diferenciador</w:t>
            </w:r>
          </w:p>
        </w:tc>
        <w:tc>
          <w:tcPr>
            <w:tcW w:type="dxa" w:w="964"/>
          </w:tcPr>
          <w:p>
            <w:pPr>
              <w:spacing w:line="240" w:lineRule="auto" w:after="60" w:before="60"/>
              <w:ind w:firstLine="0"/>
              <w:jc w:val="left"/>
            </w:pPr>
            <w:r/>
            <w:r>
              <w:rPr>
                <w:rFonts w:ascii="Times New Roman" w:hAnsi="Times New Roman" w:cs="Times New Roman" w:eastAsia="Times New Roman"/>
                <w:b w:val="0"/>
                <w:sz w:val="20"/>
              </w:rPr>
              <w:t>Media</w:t>
            </w:r>
          </w:p>
        </w:tc>
        <w:tc>
          <w:tcPr>
            <w:tcW w:type="dxa" w:w="794"/>
          </w:tcPr>
          <w:p>
            <w:pPr>
              <w:spacing w:line="240" w:lineRule="auto" w:after="60" w:before="60"/>
              <w:ind w:firstLine="0"/>
              <w:jc w:val="left"/>
            </w:pPr>
            <w:r/>
            <w:r>
              <w:rPr>
                <w:rFonts w:ascii="Times New Roman" w:hAnsi="Times New Roman" w:cs="Times New Roman" w:eastAsia="Times New Roman"/>
                <w:b w:val="0"/>
                <w:sz w:val="20"/>
              </w:rPr>
              <w:t>Alto</w:t>
            </w:r>
          </w:p>
        </w:tc>
        <w:tc>
          <w:tcPr>
            <w:tcW w:type="dxa" w:w="794"/>
          </w:tcPr>
          <w:p>
            <w:pPr>
              <w:spacing w:line="240" w:lineRule="auto" w:after="60" w:before="60"/>
              <w:ind w:firstLine="0"/>
              <w:jc w:val="left"/>
            </w:pPr>
            <w:r/>
            <w:r>
              <w:rPr>
                <w:rFonts w:ascii="Times New Roman" w:hAnsi="Times New Roman" w:cs="Times New Roman" w:eastAsia="Times New Roman"/>
                <w:b w:val="0"/>
                <w:sz w:val="20"/>
              </w:rPr>
              <w:t>Alto</w:t>
            </w:r>
          </w:p>
        </w:tc>
        <w:tc>
          <w:tcPr>
            <w:tcW w:type="dxa" w:w="3402"/>
          </w:tcPr>
          <w:p>
            <w:pPr>
              <w:spacing w:line="240" w:lineRule="auto" w:after="60" w:before="60"/>
              <w:ind w:firstLine="0"/>
              <w:jc w:val="left"/>
            </w:pPr>
            <w:r/>
            <w:r>
              <w:rPr>
                <w:rFonts w:ascii="Times New Roman" w:hAnsi="Times New Roman" w:cs="Times New Roman" w:eastAsia="Times New Roman"/>
                <w:b w:val="0"/>
                <w:sz w:val="20"/>
              </w:rPr>
              <w:t>Ampliar y profundizar el catálogo más allá de lo que un actor global replicaría con poco esfuerzo. Construir marca local y buscar alianzas con entidades de trámites</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4</w:t>
            </w:r>
          </w:p>
        </w:tc>
        <w:tc>
          <w:tcPr>
            <w:tcW w:type="dxa" w:w="2268"/>
          </w:tcPr>
          <w:p>
            <w:pPr>
              <w:spacing w:line="240" w:lineRule="auto" w:after="60" w:before="60"/>
              <w:ind w:firstLine="0"/>
              <w:jc w:val="left"/>
            </w:pPr>
            <w:r/>
            <w:r>
              <w:rPr>
                <w:rFonts w:ascii="Times New Roman" w:hAnsi="Times New Roman" w:cs="Times New Roman" w:eastAsia="Times New Roman"/>
                <w:b w:val="0"/>
                <w:sz w:val="20"/>
              </w:rPr>
              <w:t>Dependencia de un solo proveedor de infraestructura extranjero</w:t>
            </w:r>
          </w:p>
        </w:tc>
        <w:tc>
          <w:tcPr>
            <w:tcW w:type="dxa" w:w="964"/>
          </w:tcPr>
          <w:p>
            <w:pPr>
              <w:spacing w:line="240" w:lineRule="auto" w:after="60" w:before="60"/>
              <w:ind w:firstLine="0"/>
              <w:jc w:val="left"/>
            </w:pPr>
            <w:r/>
            <w:r>
              <w:rPr>
                <w:rFonts w:ascii="Times New Roman" w:hAnsi="Times New Roman" w:cs="Times New Roman" w:eastAsia="Times New Roman"/>
                <w:b w:val="0"/>
                <w:sz w:val="20"/>
              </w:rPr>
              <w:t>Media</w:t>
            </w:r>
          </w:p>
        </w:tc>
        <w:tc>
          <w:tcPr>
            <w:tcW w:type="dxa" w:w="794"/>
          </w:tcPr>
          <w:p>
            <w:pPr>
              <w:spacing w:line="240" w:lineRule="auto" w:after="60" w:before="60"/>
              <w:ind w:firstLine="0"/>
              <w:jc w:val="left"/>
            </w:pPr>
            <w:r/>
            <w:r>
              <w:rPr>
                <w:rFonts w:ascii="Times New Roman" w:hAnsi="Times New Roman" w:cs="Times New Roman" w:eastAsia="Times New Roman"/>
                <w:b w:val="0"/>
                <w:sz w:val="20"/>
              </w:rPr>
              <w:t>Medio</w:t>
            </w:r>
          </w:p>
        </w:tc>
        <w:tc>
          <w:tcPr>
            <w:tcW w:type="dxa" w:w="794"/>
          </w:tcPr>
          <w:p>
            <w:pPr>
              <w:spacing w:line="240" w:lineRule="auto" w:after="60" w:before="60"/>
              <w:ind w:firstLine="0"/>
              <w:jc w:val="left"/>
            </w:pPr>
            <w:r/>
            <w:r>
              <w:rPr>
                <w:rFonts w:ascii="Times New Roman" w:hAnsi="Times New Roman" w:cs="Times New Roman" w:eastAsia="Times New Roman"/>
                <w:b w:val="0"/>
                <w:sz w:val="20"/>
              </w:rPr>
              <w:t>Medio</w:t>
            </w:r>
          </w:p>
        </w:tc>
        <w:tc>
          <w:tcPr>
            <w:tcW w:type="dxa" w:w="3402"/>
          </w:tcPr>
          <w:p>
            <w:pPr>
              <w:spacing w:line="240" w:lineRule="auto" w:after="60" w:before="60"/>
              <w:ind w:firstLine="0"/>
              <w:jc w:val="left"/>
            </w:pPr>
            <w:r/>
            <w:r>
              <w:rPr>
                <w:rFonts w:ascii="Times New Roman" w:hAnsi="Times New Roman" w:cs="Times New Roman" w:eastAsia="Times New Roman"/>
                <w:b w:val="0"/>
                <w:sz w:val="20"/>
              </w:rPr>
              <w:t>Usar PostgreSQL estándar y evitar funcionalidades propietarias. Mantener alternativas ya evaluadas, como Neon y Railway. Hacer respaldos periódicos exportables</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5</w:t>
            </w:r>
          </w:p>
        </w:tc>
        <w:tc>
          <w:tcPr>
            <w:tcW w:type="dxa" w:w="2268"/>
          </w:tcPr>
          <w:p>
            <w:pPr>
              <w:spacing w:line="240" w:lineRule="auto" w:after="60" w:before="60"/>
              <w:ind w:firstLine="0"/>
              <w:jc w:val="left"/>
            </w:pPr>
            <w:r/>
            <w:r>
              <w:rPr>
                <w:rFonts w:ascii="Times New Roman" w:hAnsi="Times New Roman" w:cs="Times New Roman" w:eastAsia="Times New Roman"/>
                <w:b w:val="0"/>
                <w:sz w:val="20"/>
              </w:rPr>
              <w:t>Baja adopción o abandono temprano de los usuarios del piloto</w:t>
            </w:r>
          </w:p>
        </w:tc>
        <w:tc>
          <w:tcPr>
            <w:tcW w:type="dxa" w:w="964"/>
          </w:tcPr>
          <w:p>
            <w:pPr>
              <w:spacing w:line="240" w:lineRule="auto" w:after="60" w:before="60"/>
              <w:ind w:firstLine="0"/>
              <w:jc w:val="left"/>
            </w:pPr>
            <w:r/>
            <w:r>
              <w:rPr>
                <w:rFonts w:ascii="Times New Roman" w:hAnsi="Times New Roman" w:cs="Times New Roman" w:eastAsia="Times New Roman"/>
                <w:b w:val="0"/>
                <w:sz w:val="20"/>
              </w:rPr>
              <w:t>Media</w:t>
            </w:r>
          </w:p>
        </w:tc>
        <w:tc>
          <w:tcPr>
            <w:tcW w:type="dxa" w:w="794"/>
          </w:tcPr>
          <w:p>
            <w:pPr>
              <w:spacing w:line="240" w:lineRule="auto" w:after="60" w:before="60"/>
              <w:ind w:firstLine="0"/>
              <w:jc w:val="left"/>
            </w:pPr>
            <w:r/>
            <w:r>
              <w:rPr>
                <w:rFonts w:ascii="Times New Roman" w:hAnsi="Times New Roman" w:cs="Times New Roman" w:eastAsia="Times New Roman"/>
                <w:b w:val="0"/>
                <w:sz w:val="20"/>
              </w:rPr>
              <w:t>Alto</w:t>
            </w:r>
          </w:p>
        </w:tc>
        <w:tc>
          <w:tcPr>
            <w:tcW w:type="dxa" w:w="794"/>
          </w:tcPr>
          <w:p>
            <w:pPr>
              <w:spacing w:line="240" w:lineRule="auto" w:after="60" w:before="60"/>
              <w:ind w:firstLine="0"/>
              <w:jc w:val="left"/>
            </w:pPr>
            <w:r/>
            <w:r>
              <w:rPr>
                <w:rFonts w:ascii="Times New Roman" w:hAnsi="Times New Roman" w:cs="Times New Roman" w:eastAsia="Times New Roman"/>
                <w:b w:val="0"/>
                <w:sz w:val="20"/>
              </w:rPr>
              <w:t>Alto</w:t>
            </w:r>
          </w:p>
        </w:tc>
        <w:tc>
          <w:tcPr>
            <w:tcW w:type="dxa" w:w="3402"/>
          </w:tcPr>
          <w:p>
            <w:pPr>
              <w:spacing w:line="240" w:lineRule="auto" w:after="60" w:before="60"/>
              <w:ind w:firstLine="0"/>
              <w:jc w:val="left"/>
            </w:pPr>
            <w:r/>
            <w:r>
              <w:rPr>
                <w:rFonts w:ascii="Times New Roman" w:hAnsi="Times New Roman" w:cs="Times New Roman" w:eastAsia="Times New Roman"/>
                <w:b w:val="0"/>
                <w:sz w:val="20"/>
              </w:rPr>
              <w:t>Validar el prototipo antes de desarrollar, que es la actividad 18. Cuidar la configuración inicial, que es donde se entrega el valor. Medir la retención a 30 días como indicador de decisión</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6</w:t>
            </w:r>
          </w:p>
        </w:tc>
        <w:tc>
          <w:tcPr>
            <w:tcW w:type="dxa" w:w="2268"/>
          </w:tcPr>
          <w:p>
            <w:pPr>
              <w:spacing w:line="240" w:lineRule="auto" w:after="60" w:before="60"/>
              <w:ind w:firstLine="0"/>
              <w:jc w:val="left"/>
            </w:pPr>
            <w:r/>
            <w:r>
              <w:rPr>
                <w:rFonts w:ascii="Times New Roman" w:hAnsi="Times New Roman" w:cs="Times New Roman" w:eastAsia="Times New Roman"/>
                <w:b w:val="0"/>
                <w:sz w:val="20"/>
              </w:rPr>
              <w:t>Desactualización del catálogo de obligaciones cuando cambie la norma</w:t>
            </w:r>
          </w:p>
        </w:tc>
        <w:tc>
          <w:tcPr>
            <w:tcW w:type="dxa" w:w="964"/>
          </w:tcPr>
          <w:p>
            <w:pPr>
              <w:spacing w:line="240" w:lineRule="auto" w:after="60" w:before="60"/>
              <w:ind w:firstLine="0"/>
              <w:jc w:val="left"/>
            </w:pPr>
            <w:r/>
            <w:r>
              <w:rPr>
                <w:rFonts w:ascii="Times New Roman" w:hAnsi="Times New Roman" w:cs="Times New Roman" w:eastAsia="Times New Roman"/>
                <w:b w:val="0"/>
                <w:sz w:val="20"/>
              </w:rPr>
              <w:t>Media</w:t>
            </w:r>
          </w:p>
        </w:tc>
        <w:tc>
          <w:tcPr>
            <w:tcW w:type="dxa" w:w="794"/>
          </w:tcPr>
          <w:p>
            <w:pPr>
              <w:spacing w:line="240" w:lineRule="auto" w:after="60" w:before="60"/>
              <w:ind w:firstLine="0"/>
              <w:jc w:val="left"/>
            </w:pPr>
            <w:r/>
            <w:r>
              <w:rPr>
                <w:rFonts w:ascii="Times New Roman" w:hAnsi="Times New Roman" w:cs="Times New Roman" w:eastAsia="Times New Roman"/>
                <w:b w:val="0"/>
                <w:sz w:val="20"/>
              </w:rPr>
              <w:t>Medio</w:t>
            </w:r>
          </w:p>
        </w:tc>
        <w:tc>
          <w:tcPr>
            <w:tcW w:type="dxa" w:w="794"/>
          </w:tcPr>
          <w:p>
            <w:pPr>
              <w:spacing w:line="240" w:lineRule="auto" w:after="60" w:before="60"/>
              <w:ind w:firstLine="0"/>
              <w:jc w:val="left"/>
            </w:pPr>
            <w:r/>
            <w:r>
              <w:rPr>
                <w:rFonts w:ascii="Times New Roman" w:hAnsi="Times New Roman" w:cs="Times New Roman" w:eastAsia="Times New Roman"/>
                <w:b w:val="0"/>
                <w:sz w:val="20"/>
              </w:rPr>
              <w:t>Medio</w:t>
            </w:r>
          </w:p>
        </w:tc>
        <w:tc>
          <w:tcPr>
            <w:tcW w:type="dxa" w:w="3402"/>
          </w:tcPr>
          <w:p>
            <w:pPr>
              <w:spacing w:line="240" w:lineRule="auto" w:after="60" w:before="60"/>
              <w:ind w:firstLine="0"/>
              <w:jc w:val="left"/>
            </w:pPr>
            <w:r/>
            <w:r>
              <w:rPr>
                <w:rFonts w:ascii="Times New Roman" w:hAnsi="Times New Roman" w:cs="Times New Roman" w:eastAsia="Times New Roman"/>
                <w:b w:val="0"/>
                <w:sz w:val="20"/>
              </w:rPr>
              <w:t>Registrar en cada plantilla su fuente normativa y la fecha de verificación. Establecer revisión semestral. Avisar al usuario cuando una plantilla cambie</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7</w:t>
            </w:r>
          </w:p>
        </w:tc>
        <w:tc>
          <w:tcPr>
            <w:tcW w:type="dxa" w:w="2268"/>
          </w:tcPr>
          <w:p>
            <w:pPr>
              <w:spacing w:line="240" w:lineRule="auto" w:after="60" w:before="60"/>
              <w:ind w:firstLine="0"/>
              <w:jc w:val="left"/>
            </w:pPr>
            <w:r/>
            <w:r>
              <w:rPr>
                <w:rFonts w:ascii="Times New Roman" w:hAnsi="Times New Roman" w:cs="Times New Roman" w:eastAsia="Times New Roman"/>
                <w:b w:val="0"/>
                <w:sz w:val="20"/>
              </w:rPr>
              <w:t>Retraso del cronograma por la dedicación parcial del equipo</w:t>
            </w:r>
          </w:p>
        </w:tc>
        <w:tc>
          <w:tcPr>
            <w:tcW w:type="dxa" w:w="964"/>
          </w:tcPr>
          <w:p>
            <w:pPr>
              <w:spacing w:line="240" w:lineRule="auto" w:after="60" w:before="60"/>
              <w:ind w:firstLine="0"/>
              <w:jc w:val="left"/>
            </w:pPr>
            <w:r/>
            <w:r>
              <w:rPr>
                <w:rFonts w:ascii="Times New Roman" w:hAnsi="Times New Roman" w:cs="Times New Roman" w:eastAsia="Times New Roman"/>
                <w:b w:val="0"/>
                <w:sz w:val="20"/>
              </w:rPr>
              <w:t>Alta</w:t>
            </w:r>
          </w:p>
        </w:tc>
        <w:tc>
          <w:tcPr>
            <w:tcW w:type="dxa" w:w="794"/>
          </w:tcPr>
          <w:p>
            <w:pPr>
              <w:spacing w:line="240" w:lineRule="auto" w:after="60" w:before="60"/>
              <w:ind w:firstLine="0"/>
              <w:jc w:val="left"/>
            </w:pPr>
            <w:r/>
            <w:r>
              <w:rPr>
                <w:rFonts w:ascii="Times New Roman" w:hAnsi="Times New Roman" w:cs="Times New Roman" w:eastAsia="Times New Roman"/>
                <w:b w:val="0"/>
                <w:sz w:val="20"/>
              </w:rPr>
              <w:t>Medio</w:t>
            </w:r>
          </w:p>
        </w:tc>
        <w:tc>
          <w:tcPr>
            <w:tcW w:type="dxa" w:w="794"/>
          </w:tcPr>
          <w:p>
            <w:pPr>
              <w:spacing w:line="240" w:lineRule="auto" w:after="60" w:before="60"/>
              <w:ind w:firstLine="0"/>
              <w:jc w:val="left"/>
            </w:pPr>
            <w:r/>
            <w:r>
              <w:rPr>
                <w:rFonts w:ascii="Times New Roman" w:hAnsi="Times New Roman" w:cs="Times New Roman" w:eastAsia="Times New Roman"/>
                <w:b w:val="0"/>
                <w:sz w:val="20"/>
              </w:rPr>
              <w:t>Alto</w:t>
            </w:r>
          </w:p>
        </w:tc>
        <w:tc>
          <w:tcPr>
            <w:tcW w:type="dxa" w:w="3402"/>
          </w:tcPr>
          <w:p>
            <w:pPr>
              <w:spacing w:line="240" w:lineRule="auto" w:after="60" w:before="60"/>
              <w:ind w:firstLine="0"/>
              <w:jc w:val="left"/>
            </w:pPr>
            <w:r/>
            <w:r>
              <w:rPr>
                <w:rFonts w:ascii="Times New Roman" w:hAnsi="Times New Roman" w:cs="Times New Roman" w:eastAsia="Times New Roman"/>
                <w:b w:val="0"/>
                <w:sz w:val="20"/>
              </w:rPr>
              <w:t>Vigilar las 17 actividades de la ruta crítica. Usar la holgura de las actividades 22 y 23 para mover esfuerzo hacia la ruta crítica. Poner hitos de control al cierre de cada fase</w:t>
            </w:r>
          </w:p>
        </w:tc>
      </w:tr>
      <w:tr>
        <w:tc>
          <w:tcPr>
            <w:tcW w:type="dxa" w:w="567"/>
          </w:tcPr>
          <w:p>
            <w:pPr>
              <w:spacing w:line="240" w:lineRule="auto" w:after="60" w:before="60"/>
              <w:ind w:firstLine="0"/>
              <w:jc w:val="left"/>
            </w:pPr>
            <w:r/>
            <w:r>
              <w:rPr>
                <w:rFonts w:ascii="Times New Roman" w:hAnsi="Times New Roman" w:cs="Times New Roman" w:eastAsia="Times New Roman"/>
                <w:b w:val="0"/>
                <w:sz w:val="20"/>
              </w:rPr>
              <w:t>8</w:t>
            </w:r>
          </w:p>
        </w:tc>
        <w:tc>
          <w:tcPr>
            <w:tcW w:type="dxa" w:w="2268"/>
          </w:tcPr>
          <w:p>
            <w:pPr>
              <w:spacing w:line="240" w:lineRule="auto" w:after="60" w:before="60"/>
              <w:ind w:firstLine="0"/>
              <w:jc w:val="left"/>
            </w:pPr>
            <w:r/>
            <w:r>
              <w:rPr>
                <w:rFonts w:ascii="Times New Roman" w:hAnsi="Times New Roman" w:cs="Times New Roman" w:eastAsia="Times New Roman"/>
                <w:b w:val="0"/>
                <w:sz w:val="20"/>
              </w:rPr>
              <w:t>Variación de la tasa de cambio que encarece la infraestructura pagada en dólares</w:t>
            </w:r>
          </w:p>
        </w:tc>
        <w:tc>
          <w:tcPr>
            <w:tcW w:type="dxa" w:w="964"/>
          </w:tcPr>
          <w:p>
            <w:pPr>
              <w:spacing w:line="240" w:lineRule="auto" w:after="60" w:before="60"/>
              <w:ind w:firstLine="0"/>
              <w:jc w:val="left"/>
            </w:pPr>
            <w:r/>
            <w:r>
              <w:rPr>
                <w:rFonts w:ascii="Times New Roman" w:hAnsi="Times New Roman" w:cs="Times New Roman" w:eastAsia="Times New Roman"/>
                <w:b w:val="0"/>
                <w:sz w:val="20"/>
              </w:rPr>
              <w:t>Media</w:t>
            </w:r>
          </w:p>
        </w:tc>
        <w:tc>
          <w:tcPr>
            <w:tcW w:type="dxa" w:w="794"/>
          </w:tcPr>
          <w:p>
            <w:pPr>
              <w:spacing w:line="240" w:lineRule="auto" w:after="60" w:before="60"/>
              <w:ind w:firstLine="0"/>
              <w:jc w:val="left"/>
            </w:pPr>
            <w:r/>
            <w:r>
              <w:rPr>
                <w:rFonts w:ascii="Times New Roman" w:hAnsi="Times New Roman" w:cs="Times New Roman" w:eastAsia="Times New Roman"/>
                <w:b w:val="0"/>
                <w:sz w:val="20"/>
              </w:rPr>
              <w:t>Bajo</w:t>
            </w:r>
          </w:p>
        </w:tc>
        <w:tc>
          <w:tcPr>
            <w:tcW w:type="dxa" w:w="794"/>
          </w:tcPr>
          <w:p>
            <w:pPr>
              <w:spacing w:line="240" w:lineRule="auto" w:after="60" w:before="60"/>
              <w:ind w:firstLine="0"/>
              <w:jc w:val="left"/>
            </w:pPr>
            <w:r/>
            <w:r>
              <w:rPr>
                <w:rFonts w:ascii="Times New Roman" w:hAnsi="Times New Roman" w:cs="Times New Roman" w:eastAsia="Times New Roman"/>
                <w:b w:val="0"/>
                <w:sz w:val="20"/>
              </w:rPr>
              <w:t>Bajo</w:t>
            </w:r>
          </w:p>
        </w:tc>
        <w:tc>
          <w:tcPr>
            <w:tcW w:type="dxa" w:w="3402"/>
          </w:tcPr>
          <w:p>
            <w:pPr>
              <w:spacing w:line="240" w:lineRule="auto" w:after="60" w:before="60"/>
              <w:ind w:firstLine="0"/>
              <w:jc w:val="left"/>
            </w:pPr>
            <w:r/>
            <w:r>
              <w:rPr>
                <w:rFonts w:ascii="Times New Roman" w:hAnsi="Times New Roman" w:cs="Times New Roman" w:eastAsia="Times New Roman"/>
                <w:b w:val="0"/>
                <w:sz w:val="20"/>
              </w:rPr>
              <w:t>Operar dentro de los niveles gratuitos durante el piloto. Presupuestar con margen sobre la tasa proyectada. Revisar proveedores con facturación local</w:t>
            </w:r>
          </w:p>
        </w:tc>
      </w:tr>
    </w:tbl>
    <w:p/>
    <w:p>
      <w:pPr>
        <w:pStyle w:val="Heading2"/>
      </w:pPr>
      <w:r>
        <w:t>Dificultades previstas</w:t>
      </w:r>
    </w:p>
    <w:p>
      <w:r>
        <w:t>Se anticipan tres dificultades concretas. La primera es reclutar la muestra: conseguir 200 encuestados y 50 usuarios de piloto por canales propios es exigente, y como la actividad 13 está en la ruta crítica, cualquier atraso ahí se traslada completo a la fecha final.</w:t>
      </w:r>
    </w:p>
    <w:p>
      <w:r>
        <w:t>La segunda es la restricción de la pasarela de pagos. Cobrar de verdad exige tener persona jurídica constituida, y el alcance excluye ese paso a propósito. En consecuencia, la conversión a premium se va a validar por declaración de intención y no por transacción, lo que debilita la evidencia. Vale la pena reconocerlo así en la evaluación financiera de la Entrega 2 antes que maquillarlo.</w:t>
      </w:r>
    </w:p>
    <w:p>
      <w:r>
        <w:t>La tercera es la tensión entre avisar lo suficiente y no molestar. El producto pierde valor si avisa poco, y genera rechazo, además de exposición bajo la Ley 2300 de 2023, si avisa demasiado. Esa calibración solo se resuelve con datos del piloto.</w:t>
      </w:r>
    </w:p>
    <w:p>
      <w:pPr>
        <w:pStyle w:val="Heading2"/>
      </w:pPr>
      <w:r>
        <w:t>Posición sobre la continuidad</w:t>
      </w:r>
    </w:p>
    <w:p>
      <w:r>
        <w:t>El perfil sostiene una decisión favorable, aunque condicionada. El problema está documentado con fuentes oficiales, hay un hueco competitivo verificable, la tecnología es accesible y el cronograma cierra dentro del semestre.</w:t>
      </w:r>
    </w:p>
    <w:p>
      <w:r>
        <w:t>Dicho eso, quedan dos condiciones por resolver antes de la Entrega 2, y ninguna de las dos es técnica. La primera es fijar el precio en pesos con evidencia de campo, porque sostener USD 9,99 mensuales frente a un líder que cobra USD 5 es la amenaza más concreta a la viabilidad comercial. La segunda es completar el cumplimiento en protección de datos antes del piloto, ya que una falla en ese frente no recorta el margen sino que cancela el proyecto. Si ambas se atienden en las actividades 16 y 26, el proyecto puede avanzar al estudio de mercado, la ingeniería detallada y la evaluación financiera con una base sólida.</w:t>
      </w:r>
    </w:p>
    <w:p>
      <w:r>
        <w:br w:type="page"/>
      </w:r>
    </w:p>
    <w:p>
      <w:pPr>
        <w:pStyle w:val="Heading1"/>
      </w:pPr>
      <w:r>
        <w:t>Referencias</w:t>
      </w:r>
    </w:p>
    <w:p>
      <w:pPr>
        <w:spacing w:line="480" w:lineRule="auto" w:after="0"/>
        <w:ind w:left="720" w:hanging="720"/>
      </w:pPr>
      <w:r>
        <w:rPr>
          <w:rFonts w:ascii="Times New Roman" w:hAnsi="Times New Roman" w:cs="Times New Roman" w:eastAsia="Times New Roman"/>
          <w:sz w:val="24"/>
        </w:rPr>
        <w:t>AIToolPick. (2026). TickTick pricing 2026: Plans, costs &amp; value. https://aitoolpick.org/blog/ticktick-pricing-2026/</w:t>
      </w:r>
    </w:p>
    <w:p>
      <w:pPr>
        <w:spacing w:line="480" w:lineRule="auto" w:after="0"/>
        <w:ind w:left="720" w:hanging="720"/>
      </w:pPr>
      <w:r>
        <w:rPr>
          <w:rFonts w:ascii="Times New Roman" w:hAnsi="Times New Roman" w:cs="Times New Roman" w:eastAsia="Times New Roman"/>
          <w:sz w:val="24"/>
        </w:rPr>
        <w:t>alfred_. (2026). Todoist pricing 2026: The 5-project free cap that forces $5 Pro. https://get-alfred.ai/blog/todoist-pricing</w:t>
      </w:r>
    </w:p>
    <w:p>
      <w:pPr>
        <w:spacing w:line="480" w:lineRule="auto" w:after="0"/>
        <w:ind w:left="720" w:hanging="720"/>
      </w:pPr>
      <w:r>
        <w:rPr>
          <w:rFonts w:ascii="Times New Roman" w:hAnsi="Times New Roman" w:cs="Times New Roman" w:eastAsia="Times New Roman"/>
          <w:sz w:val="24"/>
        </w:rPr>
        <w:t>Buk. (2026). Costos para crear una empresa en Colombia en 2026: Guía completa. https://www.buk.co/blog/</w:t>
      </w:r>
    </w:p>
    <w:p>
      <w:pPr>
        <w:spacing w:line="480" w:lineRule="auto" w:after="0"/>
        <w:ind w:left="720" w:hanging="720"/>
      </w:pPr>
      <w:r>
        <w:rPr>
          <w:rFonts w:ascii="Times New Roman" w:hAnsi="Times New Roman" w:cs="Times New Roman" w:eastAsia="Times New Roman"/>
          <w:sz w:val="24"/>
        </w:rPr>
        <w:t>Congreso de la República de Colombia. (1999). Ley 527 de 1999, por medio de la cual se define y reglamenta el acceso y uso de los mensajes de datos y del comercio electrónico.</w:t>
      </w:r>
    </w:p>
    <w:p>
      <w:pPr>
        <w:spacing w:line="480" w:lineRule="auto" w:after="0"/>
        <w:ind w:left="720" w:hanging="720"/>
      </w:pPr>
      <w:r>
        <w:rPr>
          <w:rFonts w:ascii="Times New Roman" w:hAnsi="Times New Roman" w:cs="Times New Roman" w:eastAsia="Times New Roman"/>
          <w:sz w:val="24"/>
        </w:rPr>
        <w:t>Congreso de la República de Colombia. (2002). Ley 769 de 2002, Código Nacional de Tránsito Terrestre.</w:t>
      </w:r>
    </w:p>
    <w:p>
      <w:pPr>
        <w:spacing w:line="480" w:lineRule="auto" w:after="0"/>
        <w:ind w:left="720" w:hanging="720"/>
      </w:pPr>
      <w:r>
        <w:rPr>
          <w:rFonts w:ascii="Times New Roman" w:hAnsi="Times New Roman" w:cs="Times New Roman" w:eastAsia="Times New Roman"/>
          <w:sz w:val="24"/>
        </w:rPr>
        <w:t>Congreso de la República de Colombia. (2008). Ley 1258 de 2008, por medio de la cual se crea la sociedad por acciones simplificada.</w:t>
      </w:r>
    </w:p>
    <w:p>
      <w:pPr>
        <w:spacing w:line="480" w:lineRule="auto" w:after="0"/>
        <w:ind w:left="720" w:hanging="720"/>
      </w:pPr>
      <w:r>
        <w:rPr>
          <w:rFonts w:ascii="Times New Roman" w:hAnsi="Times New Roman" w:cs="Times New Roman" w:eastAsia="Times New Roman"/>
          <w:sz w:val="24"/>
        </w:rPr>
        <w:t>Congreso de la República de Colombia. (2008). Ley 1266 de 2008, por la cual se dictan disposiciones generales del hábeas data.</w:t>
      </w:r>
    </w:p>
    <w:p>
      <w:pPr>
        <w:spacing w:line="480" w:lineRule="auto" w:after="0"/>
        <w:ind w:left="720" w:hanging="720"/>
      </w:pPr>
      <w:r>
        <w:rPr>
          <w:rFonts w:ascii="Times New Roman" w:hAnsi="Times New Roman" w:cs="Times New Roman" w:eastAsia="Times New Roman"/>
          <w:sz w:val="24"/>
        </w:rPr>
        <w:t>Congreso de la República de Colombia. (2011). Ley 1480 de 2011, Estatuto del Consumidor.</w:t>
      </w:r>
    </w:p>
    <w:p>
      <w:pPr>
        <w:spacing w:line="480" w:lineRule="auto" w:after="0"/>
        <w:ind w:left="720" w:hanging="720"/>
      </w:pPr>
      <w:r>
        <w:rPr>
          <w:rFonts w:ascii="Times New Roman" w:hAnsi="Times New Roman" w:cs="Times New Roman" w:eastAsia="Times New Roman"/>
          <w:sz w:val="24"/>
        </w:rPr>
        <w:t>Congreso de la República de Colombia. (2012). Ley 1581 de 2012, por la cual se dictan disposiciones generales para la protección de datos personales.</w:t>
      </w:r>
    </w:p>
    <w:p>
      <w:pPr>
        <w:spacing w:line="480" w:lineRule="auto" w:after="0"/>
        <w:ind w:left="720" w:hanging="720"/>
      </w:pPr>
      <w:r>
        <w:rPr>
          <w:rFonts w:ascii="Times New Roman" w:hAnsi="Times New Roman" w:cs="Times New Roman" w:eastAsia="Times New Roman"/>
          <w:sz w:val="24"/>
        </w:rPr>
        <w:t>Congreso de la República de Colombia. (2023). Ley 2300 de 2023, por medio de la cual se establecen medidas para la protección del consumidor frente al contacto no consentido.</w:t>
      </w:r>
    </w:p>
    <w:p>
      <w:pPr>
        <w:spacing w:line="480" w:lineRule="auto" w:after="0"/>
        <w:ind w:left="720" w:hanging="720"/>
      </w:pPr>
      <w:r>
        <w:rPr>
          <w:rFonts w:ascii="Times New Roman" w:hAnsi="Times New Roman" w:cs="Times New Roman" w:eastAsia="Times New Roman"/>
          <w:sz w:val="24"/>
        </w:rPr>
        <w:t>Departamento Administrativo Nacional de Estadística. (2025). Encuesta de Calidad de Vida (ECV) 2025. https://www.dane.gov.co/</w:t>
      </w:r>
    </w:p>
    <w:p>
      <w:pPr>
        <w:spacing w:line="480" w:lineRule="auto" w:after="0"/>
        <w:ind w:left="720" w:hanging="720"/>
      </w:pPr>
      <w:r>
        <w:rPr>
          <w:rFonts w:ascii="Times New Roman" w:hAnsi="Times New Roman" w:cs="Times New Roman" w:eastAsia="Times New Roman"/>
          <w:sz w:val="24"/>
        </w:rPr>
        <w:t>Fortune Business Insights. (2025). Productivity apps market size, industry share, forecast to 2034. https://www.fortunebusinessinsights.com/productivity-apps-market-110254</w:t>
      </w:r>
    </w:p>
    <w:p>
      <w:pPr>
        <w:spacing w:line="480" w:lineRule="auto" w:after="0"/>
        <w:ind w:left="720" w:hanging="720"/>
      </w:pPr>
      <w:r>
        <w:rPr>
          <w:rFonts w:ascii="Times New Roman" w:hAnsi="Times New Roman" w:cs="Times New Roman" w:eastAsia="Times New Roman"/>
          <w:sz w:val="24"/>
        </w:rPr>
        <w:t>Grand View Research. (2026). Task management software market size report, 2026-2033. https://www.grandviewresearch.com/industry-analysis/task-management-software-market-report</w:t>
      </w:r>
    </w:p>
    <w:p>
      <w:pPr>
        <w:spacing w:line="480" w:lineRule="auto" w:after="0"/>
        <w:ind w:left="720" w:hanging="720"/>
      </w:pPr>
      <w:r>
        <w:rPr>
          <w:rFonts w:ascii="Times New Roman" w:hAnsi="Times New Roman" w:cs="Times New Roman" w:eastAsia="Times New Roman"/>
          <w:sz w:val="24"/>
        </w:rPr>
        <w:t>La FM. (2026). Así quedó la multa por tener el SOAT vencido en 2026 tras incremento del salario mínimo. https://www.lafm.com.co/economia/multa-por-soat-vencido-2026-valor-actualizado-tras-aumento-salario-minimo-387214</w:t>
      </w:r>
    </w:p>
    <w:p>
      <w:pPr>
        <w:spacing w:line="480" w:lineRule="auto" w:after="0"/>
        <w:ind w:left="720" w:hanging="720"/>
      </w:pPr>
      <w:r>
        <w:rPr>
          <w:rFonts w:ascii="Times New Roman" w:hAnsi="Times New Roman" w:cs="Times New Roman" w:eastAsia="Times New Roman"/>
          <w:sz w:val="24"/>
        </w:rPr>
        <w:t>Ministerio de Salud y Protección Social. (2025). Encuesta Nacional de Salud Mental 2025. https://www.minsalud.gov.co/</w:t>
      </w:r>
    </w:p>
    <w:p>
      <w:pPr>
        <w:spacing w:line="480" w:lineRule="auto" w:after="0"/>
        <w:ind w:left="720" w:hanging="720"/>
      </w:pPr>
      <w:r>
        <w:rPr>
          <w:rFonts w:ascii="Times New Roman" w:hAnsi="Times New Roman" w:cs="Times New Roman" w:eastAsia="Times New Roman"/>
          <w:sz w:val="24"/>
        </w:rPr>
        <w:t>Ministerio de Tecnologías de la Información y las Comunicaciones. (2025). Colombia cerró el primer trimestre de 2025 con más de 49 millones de accesos móviles a internet. https://www.mintic.gov.co/portal/715/w3-article-404518.html</w:t>
      </w:r>
    </w:p>
    <w:p>
      <w:pPr>
        <w:spacing w:line="480" w:lineRule="auto" w:after="0"/>
        <w:ind w:left="720" w:hanging="720"/>
      </w:pPr>
      <w:r>
        <w:rPr>
          <w:rFonts w:ascii="Times New Roman" w:hAnsi="Times New Roman" w:cs="Times New Roman" w:eastAsia="Times New Roman"/>
          <w:sz w:val="24"/>
        </w:rPr>
        <w:t>Presidencia de la República de Colombia. (2015). Decreto 1074 de 2015, Decreto Único Reglamentario del Sector Comercio, Industria y Turismo.</w:t>
      </w:r>
    </w:p>
    <w:p>
      <w:pPr>
        <w:spacing w:line="480" w:lineRule="auto" w:after="0"/>
        <w:ind w:left="720" w:hanging="720"/>
      </w:pPr>
      <w:r>
        <w:rPr>
          <w:rFonts w:ascii="Times New Roman" w:hAnsi="Times New Roman" w:cs="Times New Roman" w:eastAsia="Times New Roman"/>
          <w:sz w:val="24"/>
        </w:rPr>
        <w:t>Seguros Sura. (2025). Ansiedad y depresión afectan la calidad de vida de miles de trabajadores en Colombia. Citado en Infobae. https://www.infobae.com/colombia/2025/04/26/</w:t>
      </w:r>
    </w:p>
    <w:p>
      <w:pPr>
        <w:spacing w:line="480" w:lineRule="auto" w:after="0"/>
        <w:ind w:left="720" w:hanging="720"/>
      </w:pPr>
      <w:r>
        <w:rPr>
          <w:rFonts w:ascii="Times New Roman" w:hAnsi="Times New Roman" w:cs="Times New Roman" w:eastAsia="Times New Roman"/>
          <w:sz w:val="24"/>
        </w:rPr>
        <w:t>SNLegal. (2026). Cuánto cuesta crear una SAS en Colombia. https://snlegal.co/blog/cuanto-cuesta-crear-empresa-sas-colombia</w:t>
      </w:r>
    </w:p>
    <w:p/>
    <w:p>
      <w:pPr>
        <w:ind w:firstLine="0"/>
      </w:pPr>
      <w:r>
        <w:rPr>
          <w:rFonts w:ascii="Times New Roman" w:hAnsi="Times New Roman" w:cs="Times New Roman" w:eastAsia="Times New Roman"/>
          <w:i/>
          <w:sz w:val="24"/>
        </w:rPr>
        <w:t>Documentos anexos: arbol.html (árbol de problemas, objetivos y alternativas), analisis-teorico-riesgos.html (análisis teórico) y cronograma-alivia.csv (importable a MS Project o GanttProject).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ind w:firstLine="720"/>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