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Universidad Pontificia Bolivariana</w:t>
      </w:r>
    </w:p>
    <w:p>
      <w:pPr>
        <w:jc w:val="center"/>
      </w:pPr>
      <w:r>
        <w:rPr>
          <w:sz w:val="21"/>
        </w:rPr>
        <w:t>Facultad de Ingeniería en Energía, Computación y TIC</w:t>
      </w:r>
    </w:p>
    <w:p>
      <w:pPr>
        <w:jc w:val="center"/>
      </w:pPr>
      <w:r>
        <w:rPr>
          <w:sz w:val="21"/>
        </w:rPr>
        <w:t>Tópicos Avanzados de Bases de Datos — Periodo 202620</w:t>
      </w:r>
    </w:p>
    <w:p>
      <w:pPr>
        <w:jc w:val="center"/>
      </w:pPr>
      <w:r>
        <w:rPr>
          <w:sz w:val="21"/>
        </w:rPr>
        <w:t>Docente: Juan Darío Rodas M.</w:t>
      </w:r>
    </w:p>
    <w:p/>
    <w:p>
      <w:pPr>
        <w:jc w:val="center"/>
      </w:pPr>
      <w:r>
        <w:rPr>
          <w:b/>
          <w:color w:val="1F4E79"/>
          <w:sz w:val="32"/>
        </w:rPr>
        <w:t>Examen No. 1 — Lógica Almacenada en Base de Datos</w:t>
      </w:r>
    </w:p>
    <w:p>
      <w:pPr>
        <w:jc w:val="center"/>
      </w:pPr>
      <w:r>
        <w:rPr>
          <w:b/>
          <w:sz w:val="25"/>
        </w:rPr>
        <w:t>Etapas 1 y 2 — Abastecimiento de infraestructura</w:t>
        <w:br/>
        <w:t>y configuración de conexiones remotas</w:t>
      </w:r>
    </w:p>
    <w:p>
      <w:pPr>
        <w:jc w:val="center"/>
      </w:pPr>
      <w:r>
        <w:rPr>
          <w:i/>
          <w:sz w:val="22"/>
        </w:rPr>
        <w:t>Dominio: Cadena de frío de medicamentos — "Distri-Cold"</w:t>
      </w:r>
    </w:p>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
              <w:rPr>
                <w:b/>
                <w:sz w:val="20"/>
              </w:rPr>
              <w:t>Estudiante</w:t>
            </w:r>
          </w:p>
        </w:tc>
        <w:tc>
          <w:tcPr>
            <w:tcW w:type="dxa" w:w="2412"/>
          </w:tcPr>
          <w:p>
            <w:r/>
            <w:r>
              <w:rPr>
                <w:b/>
                <w:sz w:val="20"/>
              </w:rPr>
              <w:t>ID SIGAA</w:t>
            </w:r>
          </w:p>
        </w:tc>
        <w:tc>
          <w:tcPr>
            <w:tcW w:type="dxa" w:w="2412"/>
          </w:tcPr>
          <w:p>
            <w:r/>
            <w:r>
              <w:rPr>
                <w:b/>
                <w:sz w:val="20"/>
              </w:rPr>
              <w:t>Motor de base de datos</w:t>
            </w:r>
          </w:p>
        </w:tc>
        <w:tc>
          <w:tcPr>
            <w:tcW w:type="dxa" w:w="2412"/>
          </w:tcPr>
          <w:p>
            <w:r/>
            <w:r>
              <w:rPr>
                <w:b/>
                <w:sz w:val="20"/>
              </w:rPr>
              <w:t>Infraestructura</w:t>
            </w:r>
          </w:p>
        </w:tc>
      </w:tr>
      <w:tr>
        <w:tc>
          <w:tcPr>
            <w:tcW w:type="dxa" w:w="2412"/>
          </w:tcPr>
          <w:p>
            <w:r/>
            <w:r>
              <w:rPr>
                <w:sz w:val="20"/>
              </w:rPr>
              <w:t>Andrés Felipe Martínez</w:t>
            </w:r>
          </w:p>
        </w:tc>
        <w:tc>
          <w:tcPr>
            <w:tcW w:type="dxa" w:w="2412"/>
          </w:tcPr>
          <w:p>
            <w:r/>
            <w:r>
              <w:rPr>
                <w:sz w:val="20"/>
              </w:rPr>
              <w:t>000549446</w:t>
            </w:r>
          </w:p>
        </w:tc>
        <w:tc>
          <w:tcPr>
            <w:tcW w:type="dxa" w:w="2412"/>
          </w:tcPr>
          <w:p>
            <w:r/>
            <w:r>
              <w:rPr>
                <w:sz w:val="20"/>
              </w:rPr>
              <w:t>PostgreSQL 18</w:t>
            </w:r>
          </w:p>
        </w:tc>
        <w:tc>
          <w:tcPr>
            <w:tcW w:type="dxa" w:w="2412"/>
          </w:tcPr>
          <w:p>
            <w:r/>
            <w:r>
              <w:rPr>
                <w:sz w:val="20"/>
              </w:rPr>
              <w:t>Azure (nube)</w:t>
            </w:r>
          </w:p>
        </w:tc>
      </w:tr>
      <w:tr>
        <w:tc>
          <w:tcPr>
            <w:tcW w:type="dxa" w:w="2412"/>
          </w:tcPr>
          <w:p>
            <w:r/>
            <w:r>
              <w:rPr>
                <w:sz w:val="20"/>
              </w:rPr>
              <w:t>José Miguel Jaramillo</w:t>
            </w:r>
          </w:p>
        </w:tc>
        <w:tc>
          <w:tcPr>
            <w:tcW w:type="dxa" w:w="2412"/>
          </w:tcPr>
          <w:p>
            <w:r/>
            <w:r>
              <w:rPr>
                <w:sz w:val="20"/>
              </w:rPr>
              <w:t>000210186</w:t>
            </w:r>
          </w:p>
        </w:tc>
        <w:tc>
          <w:tcPr>
            <w:tcW w:type="dxa" w:w="2412"/>
          </w:tcPr>
          <w:p>
            <w:r/>
            <w:r>
              <w:rPr>
                <w:sz w:val="20"/>
              </w:rPr>
              <w:t>MS SQL Server 2025</w:t>
            </w:r>
          </w:p>
        </w:tc>
        <w:tc>
          <w:tcPr>
            <w:tcW w:type="dxa" w:w="2412"/>
          </w:tcPr>
          <w:p>
            <w:r/>
            <w:r>
              <w:rPr>
                <w:sz w:val="20"/>
              </w:rPr>
              <w:t>Docker local</w:t>
            </w:r>
          </w:p>
        </w:tc>
      </w:tr>
    </w:tbl>
    <w:p/>
    <w:p>
      <w:pPr>
        <w:spacing w:before="160" w:after="160"/>
        <w:ind w:left="216"/>
        <w:pBdr>
          <w:left w:val="single" w:sz="18" w:space="8" w:color="1E6B2E"/>
        </w:pBdr>
        <w:shd w:val="clear" w:color="auto" w:fill="F1F8F2"/>
      </w:pPr>
      <w:r>
        <w:rPr>
          <w:b/>
          <w:color w:val="1E6B2E"/>
          <w:sz w:val="20"/>
        </w:rPr>
        <w:t xml:space="preserve">Cómo usar este documento. </w:t>
      </w:r>
      <w:r>
        <w:rPr>
          <w:sz w:val="20"/>
        </w:rPr>
        <w:t>Este documento es la guía de ejecución. Cada bloque marcado como CAPTURA indica exactamente qué pantalla hay que fotografiar para el entregable. Al terminar, reemplace cada bloque por la imagen correspondiente y exporte a PDF.</w:t>
      </w:r>
    </w:p>
    <w:p>
      <w:r>
        <w:br w:type="page"/>
      </w:r>
    </w:p>
    <w:p>
      <w:pPr>
        <w:pStyle w:val="Heading1"/>
      </w:pPr>
      <w:r>
        <w:rPr>
          <w:color w:val="1F4E79"/>
        </w:rPr>
        <w:t>Parte A — Andrés Felipe Martínez · PostgreSQL 18 en Azure</w:t>
      </w:r>
    </w:p>
    <w:p>
      <w:pPr>
        <w:spacing w:after="80"/>
      </w:pPr>
      <w:r>
        <w:rPr>
          <w:sz w:val="21"/>
        </w:rPr>
        <w:t>Se despliega un servidor administrado Azure Database for PostgreSQL — Flexible Server. Se elige un servicio administrado y no una máquina virtual porque el cifrado TLS viene activo y forzado de fábrica, lo que permite demostrar la conexión cifrada que exige la bonificación de despliegue en nube sin tener que generar ni instalar certificados.</w:t>
      </w:r>
    </w:p>
    <w:p>
      <w:pPr>
        <w:spacing w:before="160" w:after="160"/>
        <w:ind w:left="216"/>
        <w:pBdr>
          <w:left w:val="single" w:sz="18" w:space="8" w:color="1E6B2E"/>
        </w:pBdr>
        <w:shd w:val="clear" w:color="auto" w:fill="F1F8F2"/>
      </w:pPr>
      <w:r>
        <w:rPr>
          <w:b/>
          <w:color w:val="1E6B2E"/>
          <w:sz w:val="20"/>
        </w:rPr>
        <w:t xml:space="preserve">Requisito del enunciado. </w:t>
      </w:r>
      <w:r>
        <w:rPr>
          <w:sz w:val="20"/>
        </w:rPr>
        <w:t>La bonificación de nube solo es válida en AWS, MS Azure, Google Cloud u Oracle Cloud, y obliga a demostrar con evidencia que la conexión es cifrada. El Paso 8 de esta guía es esa evidencia.</w:t>
      </w:r>
    </w:p>
    <w:p>
      <w:pPr>
        <w:spacing w:before="240" w:after="80"/>
      </w:pPr>
      <w:r>
        <w:rPr>
          <w:b/>
          <w:color w:val="1F4E79"/>
          <w:sz w:val="23"/>
        </w:rPr>
        <w:t>Paso 1 — Crear la cuenta de Azure</w:t>
      </w:r>
    </w:p>
    <w:p>
      <w:pPr>
        <w:pStyle w:val="ListBullet"/>
        <w:spacing w:after="40"/>
      </w:pPr>
      <w:r>
        <w:rPr>
          <w:sz w:val="21"/>
        </w:rPr>
        <w:t>Ir a azure.microsoft.com y crear una cuenta gratuita con el correo institucional.</w:t>
      </w:r>
    </w:p>
    <w:p>
      <w:pPr>
        <w:pStyle w:val="ListBullet"/>
        <w:spacing w:after="40"/>
      </w:pPr>
      <w:r>
        <w:rPr>
          <w:sz w:val="21"/>
        </w:rPr>
        <w:t>Azure pide una tarjeta de crédito para verificar identidad. No cobra mientras se permanezca en los recursos de capa gratuita.</w:t>
      </w:r>
    </w:p>
    <w:p>
      <w:pPr>
        <w:pStyle w:val="ListBullet"/>
        <w:spacing w:after="40"/>
      </w:pPr>
      <w:r>
        <w:rPr>
          <w:sz w:val="21"/>
        </w:rPr>
        <w:t>Si tiene correo @upb.edu.co, revise primero Azure for Students: da crédito sin exigir tarjeta.</w:t>
      </w:r>
    </w:p>
    <w:p>
      <w:pPr>
        <w:spacing w:before="160" w:after="160"/>
        <w:ind w:left="216"/>
        <w:pBdr>
          <w:left w:val="single" w:sz="18" w:space="8" w:color="A51C1C"/>
        </w:pBdr>
        <w:shd w:val="clear" w:color="auto" w:fill="FDF2F2"/>
      </w:pPr>
      <w:r>
        <w:rPr>
          <w:b/>
          <w:color w:val="A51C1C"/>
          <w:sz w:val="20"/>
        </w:rPr>
        <w:t xml:space="preserve">CAPTURA 1  </w:t>
      </w:r>
      <w:r>
        <w:rPr>
          <w:sz w:val="20"/>
        </w:rPr>
        <w:t>Portal de Azure ya autenticado, mostrando el nombre de la suscripción activa.</w:t>
      </w:r>
    </w:p>
    <w:p>
      <w:pPr>
        <w:spacing w:before="240" w:after="80"/>
      </w:pPr>
      <w:r>
        <w:rPr>
          <w:b/>
          <w:color w:val="1F4E79"/>
          <w:sz w:val="23"/>
        </w:rPr>
        <w:t>Paso 2 — Crear el servidor PostgreSQL</w:t>
      </w:r>
    </w:p>
    <w:p>
      <w:pPr>
        <w:pStyle w:val="ListBullet"/>
        <w:spacing w:after="40"/>
      </w:pPr>
      <w:r>
        <w:rPr>
          <w:sz w:val="21"/>
        </w:rPr>
        <w:t>En el portal: Crear un recurso → Bases de datos → Azure Database for PostgreSQL.</w:t>
      </w:r>
    </w:p>
    <w:p>
      <w:pPr>
        <w:pStyle w:val="ListBullet"/>
        <w:spacing w:after="40"/>
      </w:pPr>
      <w:r>
        <w:rPr>
          <w:sz w:val="21"/>
        </w:rPr>
        <w:t>Elegir el tipo de implementación Servidor flexible (Flexible server).</w:t>
      </w:r>
    </w:p>
    <w:p>
      <w:pPr>
        <w:spacing w:after="80"/>
      </w:pPr>
      <w:r>
        <w:rPr>
          <w:sz w:val="21"/>
        </w:rPr>
        <w:t>En la pestaña Datos básicos, diligenciar:</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20"/>
              </w:rPr>
              <w:t>Campo</w:t>
            </w:r>
          </w:p>
        </w:tc>
        <w:tc>
          <w:tcPr>
            <w:tcW w:type="dxa" w:w="4824"/>
          </w:tcPr>
          <w:p>
            <w:r/>
            <w:r>
              <w:rPr>
                <w:b/>
                <w:sz w:val="20"/>
              </w:rPr>
              <w:t>Valor a usar</w:t>
            </w:r>
          </w:p>
        </w:tc>
      </w:tr>
      <w:tr>
        <w:tc>
          <w:tcPr>
            <w:tcW w:type="dxa" w:w="4824"/>
          </w:tcPr>
          <w:p>
            <w:r/>
            <w:r>
              <w:rPr>
                <w:sz w:val="20"/>
              </w:rPr>
              <w:t>Suscripción</w:t>
            </w:r>
          </w:p>
        </w:tc>
        <w:tc>
          <w:tcPr>
            <w:tcW w:type="dxa" w:w="4824"/>
          </w:tcPr>
          <w:p>
            <w:r/>
            <w:r>
              <w:rPr>
                <w:sz w:val="20"/>
              </w:rPr>
              <w:t>La suscripción gratuita creada</w:t>
            </w:r>
          </w:p>
        </w:tc>
      </w:tr>
      <w:tr>
        <w:tc>
          <w:tcPr>
            <w:tcW w:type="dxa" w:w="4824"/>
          </w:tcPr>
          <w:p>
            <w:r/>
            <w:r>
              <w:rPr>
                <w:sz w:val="20"/>
              </w:rPr>
              <w:t>Grupo de recursos</w:t>
            </w:r>
          </w:p>
        </w:tc>
        <w:tc>
          <w:tcPr>
            <w:tcW w:type="dxa" w:w="4824"/>
          </w:tcPr>
          <w:p>
            <w:r/>
            <w:r>
              <w:rPr>
                <w:sz w:val="20"/>
              </w:rPr>
              <w:t>Crear nuevo: rg-cadenafrio</w:t>
            </w:r>
          </w:p>
        </w:tc>
      </w:tr>
      <w:tr>
        <w:tc>
          <w:tcPr>
            <w:tcW w:type="dxa" w:w="4824"/>
          </w:tcPr>
          <w:p>
            <w:r/>
            <w:r>
              <w:rPr>
                <w:sz w:val="20"/>
              </w:rPr>
              <w:t>Nombre del servidor</w:t>
            </w:r>
          </w:p>
        </w:tc>
        <w:tc>
          <w:tcPr>
            <w:tcW w:type="dxa" w:w="4824"/>
          </w:tcPr>
          <w:p>
            <w:r/>
            <w:r>
              <w:rPr>
                <w:sz w:val="20"/>
              </w:rPr>
              <w:t>psql-cadenafrio-000549446 (debe ser único en todo Azure)</w:t>
            </w:r>
          </w:p>
        </w:tc>
      </w:tr>
      <w:tr>
        <w:tc>
          <w:tcPr>
            <w:tcW w:type="dxa" w:w="4824"/>
          </w:tcPr>
          <w:p>
            <w:r/>
            <w:r>
              <w:rPr>
                <w:sz w:val="20"/>
              </w:rPr>
              <w:t>Región</w:t>
            </w:r>
          </w:p>
        </w:tc>
        <w:tc>
          <w:tcPr>
            <w:tcW w:type="dxa" w:w="4824"/>
          </w:tcPr>
          <w:p>
            <w:r/>
            <w:r>
              <w:rPr>
                <w:sz w:val="20"/>
              </w:rPr>
              <w:t>Brazil South (la suscripción Azure for Students no habilitó cupo Burstable en East US 2/Central US/West US 2/South Central US; Brazil South sí funcionó y da menor latencia)</w:t>
            </w:r>
          </w:p>
        </w:tc>
      </w:tr>
      <w:tr>
        <w:tc>
          <w:tcPr>
            <w:tcW w:type="dxa" w:w="4824"/>
          </w:tcPr>
          <w:p>
            <w:r/>
            <w:r>
              <w:rPr>
                <w:sz w:val="20"/>
              </w:rPr>
              <w:t>Versión de PostgreSQL</w:t>
            </w:r>
          </w:p>
        </w:tc>
        <w:tc>
          <w:tcPr>
            <w:tcW w:type="dxa" w:w="4824"/>
          </w:tcPr>
          <w:p>
            <w:r/>
            <w:r>
              <w:rPr>
                <w:sz w:val="20"/>
              </w:rPr>
              <w:t>18</w:t>
            </w:r>
          </w:p>
        </w:tc>
      </w:tr>
      <w:tr>
        <w:tc>
          <w:tcPr>
            <w:tcW w:type="dxa" w:w="4824"/>
          </w:tcPr>
          <w:p>
            <w:r/>
            <w:r>
              <w:rPr>
                <w:sz w:val="20"/>
              </w:rPr>
              <w:t>Tipo de carga de trabajo</w:t>
            </w:r>
          </w:p>
        </w:tc>
        <w:tc>
          <w:tcPr>
            <w:tcW w:type="dxa" w:w="4824"/>
          </w:tcPr>
          <w:p>
            <w:r/>
            <w:r>
              <w:rPr>
                <w:sz w:val="20"/>
              </w:rPr>
              <w:t>Desarrollo</w:t>
            </w:r>
          </w:p>
        </w:tc>
      </w:tr>
      <w:tr>
        <w:tc>
          <w:tcPr>
            <w:tcW w:type="dxa" w:w="4824"/>
          </w:tcPr>
          <w:p>
            <w:r/>
            <w:r>
              <w:rPr>
                <w:sz w:val="20"/>
              </w:rPr>
              <w:t>Tipo de autenticación</w:t>
            </w:r>
          </w:p>
        </w:tc>
        <w:tc>
          <w:tcPr>
            <w:tcW w:type="dxa" w:w="4824"/>
          </w:tcPr>
          <w:p>
            <w:r/>
            <w:r>
              <w:rPr>
                <w:sz w:val="20"/>
              </w:rPr>
              <w:t>Solo autenticación de PostgreSQL</w:t>
            </w:r>
          </w:p>
        </w:tc>
      </w:tr>
      <w:tr>
        <w:tc>
          <w:tcPr>
            <w:tcW w:type="dxa" w:w="4824"/>
          </w:tcPr>
          <w:p>
            <w:r/>
            <w:r>
              <w:rPr>
                <w:sz w:val="20"/>
              </w:rPr>
              <w:t>Usuario administrador</w:t>
            </w:r>
          </w:p>
        </w:tc>
        <w:tc>
          <w:tcPr>
            <w:tcW w:type="dxa" w:w="4824"/>
          </w:tcPr>
          <w:p>
            <w:r/>
            <w:r>
              <w:rPr>
                <w:sz w:val="20"/>
              </w:rPr>
              <w:t>adminandres</w:t>
            </w:r>
          </w:p>
        </w:tc>
      </w:tr>
      <w:tr>
        <w:tc>
          <w:tcPr>
            <w:tcW w:type="dxa" w:w="4824"/>
          </w:tcPr>
          <w:p>
            <w:r/>
            <w:r>
              <w:rPr>
                <w:sz w:val="20"/>
              </w:rPr>
              <w:t>Contraseña</w:t>
            </w:r>
          </w:p>
        </w:tc>
        <w:tc>
          <w:tcPr>
            <w:tcW w:type="dxa" w:w="4824"/>
          </w:tcPr>
          <w:p>
            <w:r/>
            <w:r>
              <w:rPr>
                <w:sz w:val="20"/>
              </w:rPr>
              <w:t>La que defina (guárdela, se necesita en el Paso 6)</w:t>
            </w:r>
          </w:p>
        </w:tc>
      </w:tr>
    </w:tbl>
    <w:p>
      <w:pPr>
        <w:spacing w:before="160" w:after="160"/>
        <w:ind w:left="216"/>
        <w:pBdr>
          <w:left w:val="single" w:sz="18" w:space="8" w:color="1E6B2E"/>
        </w:pBdr>
        <w:shd w:val="clear" w:color="auto" w:fill="F1F8F2"/>
      </w:pPr>
      <w:r>
        <w:rPr>
          <w:b/>
          <w:color w:val="1E6B2E"/>
          <w:sz w:val="20"/>
        </w:rPr>
        <w:t xml:space="preserve">Verificar el costo antes de crear. </w:t>
      </w:r>
      <w:r>
        <w:rPr>
          <w:sz w:val="20"/>
        </w:rPr>
        <w:t>En Proceso y almacenamiento, elegir el nivel Ráfaga (Burstable) B1ms con 32 GB. Antes de crear, verifique en el panel derecho que el costo mensual estimado sea 0.00 USD. Si muestra un valor distinto de cero, cambie el nivel: la capa gratuita es requisito del enunciado, que exige que la nube no genere costos.</w:t>
      </w:r>
    </w:p>
    <w:p>
      <w:pPr>
        <w:spacing w:before="160" w:after="160"/>
        <w:ind w:left="216"/>
        <w:pBdr>
          <w:left w:val="single" w:sz="18" w:space="8" w:color="A51C1C"/>
        </w:pBdr>
        <w:shd w:val="clear" w:color="auto" w:fill="FDF2F2"/>
      </w:pPr>
      <w:r>
        <w:rPr>
          <w:b/>
          <w:color w:val="A51C1C"/>
          <w:sz w:val="20"/>
        </w:rPr>
        <w:t xml:space="preserve">CAPTURA 2  </w:t>
      </w:r>
      <w:r>
        <w:rPr>
          <w:sz w:val="20"/>
        </w:rPr>
        <w:t>Pestaña Datos básicos completamente diligenciada, antes de pulsar Crear.</w:t>
      </w:r>
    </w:p>
    <w:p>
      <w:pPr>
        <w:spacing w:before="160" w:after="160"/>
        <w:ind w:left="216"/>
        <w:pBdr>
          <w:left w:val="single" w:sz="18" w:space="8" w:color="A51C1C"/>
        </w:pBdr>
        <w:shd w:val="clear" w:color="auto" w:fill="FDF2F2"/>
      </w:pPr>
      <w:r>
        <w:rPr>
          <w:b/>
          <w:color w:val="A51C1C"/>
          <w:sz w:val="20"/>
        </w:rPr>
        <w:t xml:space="preserve">CAPTURA 3  </w:t>
      </w:r>
      <w:r>
        <w:rPr>
          <w:sz w:val="20"/>
        </w:rPr>
        <w:t>Panel de costo estimado mostrando 0.00 USD.</w:t>
      </w:r>
    </w:p>
    <w:p>
      <w:pPr>
        <w:spacing w:before="240" w:after="80"/>
      </w:pPr>
      <w:r>
        <w:rPr>
          <w:b/>
          <w:color w:val="1F4E79"/>
          <w:sz w:val="23"/>
        </w:rPr>
        <w:t>Paso 3 — Configurar el acceso de red</w:t>
      </w:r>
    </w:p>
    <w:p>
      <w:pPr>
        <w:spacing w:after="80"/>
      </w:pPr>
      <w:r>
        <w:rPr>
          <w:sz w:val="21"/>
        </w:rPr>
        <w:t>En la pestaña Redes del asistente de creación:</w:t>
      </w:r>
    </w:p>
    <w:p>
      <w:pPr>
        <w:pStyle w:val="ListBullet"/>
        <w:spacing w:after="40"/>
      </w:pPr>
      <w:r>
        <w:rPr>
          <w:sz w:val="21"/>
        </w:rPr>
        <w:t>Método de conectividad: Acceso público (direcciones IP permitidas).</w:t>
      </w:r>
    </w:p>
    <w:p>
      <w:pPr>
        <w:pStyle w:val="ListBullet"/>
        <w:spacing w:after="40"/>
      </w:pPr>
      <w:r>
        <w:rPr>
          <w:sz w:val="21"/>
        </w:rPr>
        <w:t>Marcar la casilla Permitir el acceso público a este recurso desde Internet mediante una dirección IP.</w:t>
      </w:r>
    </w:p>
    <w:p>
      <w:pPr>
        <w:pStyle w:val="ListBullet"/>
        <w:spacing w:after="40"/>
      </w:pPr>
      <w:r>
        <w:rPr>
          <w:sz w:val="21"/>
        </w:rPr>
        <w:t>Pulsar Agregar la dirección IP del cliente actual. Esto abre el firewall solo para su equipo.</w:t>
      </w:r>
    </w:p>
    <w:p>
      <w:pPr>
        <w:spacing w:before="160" w:after="160"/>
        <w:ind w:left="216"/>
        <w:pBdr>
          <w:left w:val="single" w:sz="18" w:space="8" w:color="1E6B2E"/>
        </w:pBdr>
        <w:shd w:val="clear" w:color="auto" w:fill="F1F8F2"/>
      </w:pPr>
      <w:r>
        <w:rPr>
          <w:b/>
          <w:color w:val="1E6B2E"/>
          <w:sz w:val="20"/>
        </w:rPr>
        <w:t xml:space="preserve">Puerto TCP. </w:t>
      </w:r>
      <w:r>
        <w:rPr>
          <w:sz w:val="20"/>
        </w:rPr>
        <w:t>El puerto TCP que expone PostgreSQL es el 5432. En un servidor flexible de Azure no se abre en el firewall del sistema operativo sino en las reglas de firewall del propio servicio, que es lo que se configura en este paso. Esa es la respuesta a la pregunta "¿cuáles puertos TCP se deben habilitar?" del enunciado.</w:t>
      </w:r>
    </w:p>
    <w:p>
      <w:pPr>
        <w:spacing w:before="160" w:after="160"/>
        <w:ind w:left="216"/>
        <w:pBdr>
          <w:left w:val="single" w:sz="18" w:space="8" w:color="A51C1C"/>
        </w:pBdr>
        <w:shd w:val="clear" w:color="auto" w:fill="FDF2F2"/>
      </w:pPr>
      <w:r>
        <w:rPr>
          <w:b/>
          <w:color w:val="A51C1C"/>
          <w:sz w:val="20"/>
        </w:rPr>
        <w:t xml:space="preserve">CAPTURA 4  </w:t>
      </w:r>
      <w:r>
        <w:rPr>
          <w:sz w:val="20"/>
        </w:rPr>
        <w:t>Pestaña Redes con la regla de firewall creada y su dirección IP visible.</w:t>
      </w:r>
    </w:p>
    <w:p>
      <w:pPr>
        <w:spacing w:before="240" w:after="80"/>
      </w:pPr>
      <w:r>
        <w:rPr>
          <w:b/>
          <w:color w:val="1F4E79"/>
          <w:sz w:val="23"/>
        </w:rPr>
        <w:t>Paso 4 — Crear el recurso y esperar el aprovisionamiento</w:t>
      </w:r>
    </w:p>
    <w:p>
      <w:pPr>
        <w:pStyle w:val="ListBullet"/>
        <w:spacing w:after="40"/>
      </w:pPr>
      <w:r>
        <w:rPr>
          <w:sz w:val="21"/>
        </w:rPr>
        <w:t>Pulsar Revisar y crear, y luego Crear.</w:t>
      </w:r>
    </w:p>
    <w:p>
      <w:pPr>
        <w:pStyle w:val="ListBullet"/>
        <w:spacing w:after="40"/>
      </w:pPr>
      <w:r>
        <w:rPr>
          <w:sz w:val="21"/>
        </w:rPr>
        <w:t>El aprovisionamiento tarda entre 5 y 10 minutos.</w:t>
      </w:r>
    </w:p>
    <w:p>
      <w:pPr>
        <w:spacing w:before="160" w:after="160"/>
        <w:ind w:left="216"/>
        <w:pBdr>
          <w:left w:val="single" w:sz="18" w:space="8" w:color="A51C1C"/>
        </w:pBdr>
        <w:shd w:val="clear" w:color="auto" w:fill="FDF2F2"/>
      </w:pPr>
      <w:r>
        <w:rPr>
          <w:b/>
          <w:color w:val="A51C1C"/>
          <w:sz w:val="20"/>
        </w:rPr>
        <w:t xml:space="preserve">CAPTURA 5  </w:t>
      </w:r>
      <w:r>
        <w:rPr>
          <w:sz w:val="20"/>
        </w:rPr>
        <w:t>Pantalla de implementación completada.</w:t>
      </w:r>
    </w:p>
    <w:p>
      <w:pPr>
        <w:spacing w:before="160" w:after="160"/>
        <w:ind w:left="216"/>
        <w:pBdr>
          <w:left w:val="single" w:sz="18" w:space="8" w:color="A51C1C"/>
        </w:pBdr>
        <w:shd w:val="clear" w:color="auto" w:fill="FDF2F2"/>
      </w:pPr>
      <w:r>
        <w:rPr>
          <w:b/>
          <w:color w:val="A51C1C"/>
          <w:sz w:val="20"/>
        </w:rPr>
        <w:t xml:space="preserve">CAPTURA 6  </w:t>
      </w:r>
      <w:r>
        <w:rPr>
          <w:sz w:val="20"/>
        </w:rPr>
        <w:t>Página Información general del servidor, mostrando el nombre completo del servidor y el estado Disponible.</w:t>
      </w:r>
    </w:p>
    <w:p>
      <w:pPr>
        <w:spacing w:before="240" w:after="80"/>
      </w:pPr>
      <w:r>
        <w:rPr>
          <w:b/>
          <w:color w:val="1F4E79"/>
          <w:sz w:val="23"/>
        </w:rPr>
        <w:t>Paso 5 — Anotar la cadena de conexión</w:t>
      </w:r>
    </w:p>
    <w:p>
      <w:pPr>
        <w:spacing w:after="80"/>
      </w:pPr>
      <w:r>
        <w:rPr>
          <w:sz w:val="21"/>
        </w:rPr>
        <w:t>En el menú del servidor, ir a Configuración → Conectarse. Los datos que se necesitan son:</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20"/>
              </w:rPr>
              <w:t>Parámetro</w:t>
            </w:r>
          </w:p>
        </w:tc>
        <w:tc>
          <w:tcPr>
            <w:tcW w:type="dxa" w:w="4824"/>
          </w:tcPr>
          <w:p>
            <w:r/>
            <w:r>
              <w:rPr>
                <w:b/>
                <w:sz w:val="20"/>
              </w:rPr>
              <w:t>Valor</w:t>
            </w:r>
          </w:p>
        </w:tc>
      </w:tr>
      <w:tr>
        <w:tc>
          <w:tcPr>
            <w:tcW w:type="dxa" w:w="4824"/>
          </w:tcPr>
          <w:p>
            <w:r/>
            <w:r>
              <w:rPr>
                <w:sz w:val="20"/>
              </w:rPr>
              <w:t>Servidor</w:t>
            </w:r>
          </w:p>
        </w:tc>
        <w:tc>
          <w:tcPr>
            <w:tcW w:type="dxa" w:w="4824"/>
          </w:tcPr>
          <w:p>
            <w:r/>
            <w:r>
              <w:rPr>
                <w:sz w:val="20"/>
              </w:rPr>
              <w:t>psql-cadenafrio-000549446.postgres.database.azure.com</w:t>
            </w:r>
          </w:p>
        </w:tc>
      </w:tr>
      <w:tr>
        <w:tc>
          <w:tcPr>
            <w:tcW w:type="dxa" w:w="4824"/>
          </w:tcPr>
          <w:p>
            <w:r/>
            <w:r>
              <w:rPr>
                <w:sz w:val="20"/>
              </w:rPr>
              <w:t>Puerto TCP</w:t>
            </w:r>
          </w:p>
        </w:tc>
        <w:tc>
          <w:tcPr>
            <w:tcW w:type="dxa" w:w="4824"/>
          </w:tcPr>
          <w:p>
            <w:r/>
            <w:r>
              <w:rPr>
                <w:sz w:val="20"/>
              </w:rPr>
              <w:t>5432</w:t>
            </w:r>
          </w:p>
        </w:tc>
      </w:tr>
      <w:tr>
        <w:tc>
          <w:tcPr>
            <w:tcW w:type="dxa" w:w="4824"/>
          </w:tcPr>
          <w:p>
            <w:r/>
            <w:r>
              <w:rPr>
                <w:sz w:val="20"/>
              </w:rPr>
              <w:t>Base de datos</w:t>
            </w:r>
          </w:p>
        </w:tc>
        <w:tc>
          <w:tcPr>
            <w:tcW w:type="dxa" w:w="4824"/>
          </w:tcPr>
          <w:p>
            <w:r/>
            <w:r>
              <w:rPr>
                <w:sz w:val="20"/>
              </w:rPr>
              <w:t>postgres (inicialmente)</w:t>
            </w:r>
          </w:p>
        </w:tc>
      </w:tr>
      <w:tr>
        <w:tc>
          <w:tcPr>
            <w:tcW w:type="dxa" w:w="4824"/>
          </w:tcPr>
          <w:p>
            <w:r/>
            <w:r>
              <w:rPr>
                <w:sz w:val="20"/>
              </w:rPr>
              <w:t>Usuario</w:t>
            </w:r>
          </w:p>
        </w:tc>
        <w:tc>
          <w:tcPr>
            <w:tcW w:type="dxa" w:w="4824"/>
          </w:tcPr>
          <w:p>
            <w:r/>
            <w:r>
              <w:rPr>
                <w:sz w:val="20"/>
              </w:rPr>
              <w:t>adminandres</w:t>
            </w:r>
          </w:p>
        </w:tc>
      </w:tr>
      <w:tr>
        <w:tc>
          <w:tcPr>
            <w:tcW w:type="dxa" w:w="4824"/>
          </w:tcPr>
          <w:p>
            <w:r/>
            <w:r>
              <w:rPr>
                <w:sz w:val="20"/>
              </w:rPr>
              <w:t>Modo SSL</w:t>
            </w:r>
          </w:p>
        </w:tc>
        <w:tc>
          <w:tcPr>
            <w:tcW w:type="dxa" w:w="4824"/>
          </w:tcPr>
          <w:p>
            <w:r/>
            <w:r>
              <w:rPr>
                <w:sz w:val="20"/>
              </w:rPr>
              <w:t>require</w:t>
            </w:r>
          </w:p>
        </w:tc>
      </w:tr>
    </w:tbl>
    <w:p>
      <w:pPr>
        <w:spacing w:before="160" w:after="160"/>
        <w:ind w:left="216"/>
        <w:pBdr>
          <w:left w:val="single" w:sz="18" w:space="8" w:color="A51C1C"/>
        </w:pBdr>
        <w:shd w:val="clear" w:color="auto" w:fill="FDF2F2"/>
      </w:pPr>
      <w:r>
        <w:rPr>
          <w:b/>
          <w:color w:val="A51C1C"/>
          <w:sz w:val="20"/>
        </w:rPr>
        <w:t xml:space="preserve">CAPTURA 7  </w:t>
      </w:r>
      <w:r>
        <w:rPr>
          <w:sz w:val="20"/>
        </w:rPr>
        <w:t>Página Conectarse mostrando la cadena de conexión.</w:t>
      </w:r>
    </w:p>
    <w:p>
      <w:pPr>
        <w:spacing w:before="240" w:after="80"/>
      </w:pPr>
      <w:r>
        <w:rPr>
          <w:b/>
          <w:color w:val="1F4E79"/>
          <w:sz w:val="23"/>
        </w:rPr>
        <w:t>Paso 6 — Conectarse desde el IDE</w:t>
      </w:r>
    </w:p>
    <w:p>
      <w:pPr>
        <w:spacing w:after="80"/>
      </w:pPr>
      <w:r>
        <w:rPr>
          <w:sz w:val="21"/>
        </w:rPr>
        <w:t>Se usa DBeaver Community, aunque sirve cualquier IDE. En DBeaver:</w:t>
      </w:r>
    </w:p>
    <w:p>
      <w:pPr>
        <w:pStyle w:val="ListBullet"/>
        <w:spacing w:after="40"/>
      </w:pPr>
      <w:r>
        <w:rPr>
          <w:sz w:val="21"/>
        </w:rPr>
        <w:t>Nueva conexión → PostgreSQL.</w:t>
      </w:r>
    </w:p>
    <w:p>
      <w:pPr>
        <w:pStyle w:val="ListBullet"/>
        <w:spacing w:after="40"/>
      </w:pPr>
      <w:r>
        <w:rPr>
          <w:sz w:val="21"/>
        </w:rPr>
        <w:t>Host: el nombre completo del servidor. Puerto: 5432. Base de datos: postgres.</w:t>
      </w:r>
    </w:p>
    <w:p>
      <w:pPr>
        <w:pStyle w:val="ListBullet"/>
        <w:spacing w:after="40"/>
      </w:pPr>
      <w:r>
        <w:rPr>
          <w:sz w:val="21"/>
        </w:rPr>
        <w:t>Usuario y contraseña: los del Paso 2.</w:t>
      </w:r>
    </w:p>
    <w:p>
      <w:pPr>
        <w:pStyle w:val="ListBullet"/>
        <w:spacing w:after="40"/>
      </w:pPr>
      <w:r>
        <w:rPr>
          <w:sz w:val="21"/>
        </w:rPr>
        <w:t>Pestaña SSL → marcar Use SSL y en SSL mode elegir require.</w:t>
      </w:r>
    </w:p>
    <w:p>
      <w:pPr>
        <w:pStyle w:val="ListBullet"/>
        <w:spacing w:after="40"/>
      </w:pPr>
      <w:r>
        <w:rPr>
          <w:sz w:val="21"/>
        </w:rPr>
        <w:t>Pulsar Test Connection. Debe decir Connected.</w:t>
      </w:r>
    </w:p>
    <w:p>
      <w:pPr>
        <w:spacing w:before="160" w:after="160"/>
        <w:ind w:left="216"/>
        <w:pBdr>
          <w:left w:val="single" w:sz="18" w:space="8" w:color="1E6B2E"/>
        </w:pBdr>
        <w:shd w:val="clear" w:color="auto" w:fill="F1F8F2"/>
      </w:pPr>
      <w:r>
        <w:rPr>
          <w:b/>
          <w:color w:val="1E6B2E"/>
          <w:sz w:val="20"/>
        </w:rPr>
        <w:t xml:space="preserve">Si falla. </w:t>
      </w:r>
      <w:r>
        <w:rPr>
          <w:sz w:val="20"/>
        </w:rPr>
        <w:t>Si la conexión falla con un error de tiempo agotado, casi siempre es el firewall: su IP pública cambió. Vuelva a Redes en el portal y agregue de nuevo la IP del cliente actual.</w:t>
      </w:r>
    </w:p>
    <w:p>
      <w:pPr>
        <w:spacing w:before="160" w:after="160"/>
        <w:ind w:left="216"/>
        <w:pBdr>
          <w:left w:val="single" w:sz="18" w:space="8" w:color="A51C1C"/>
        </w:pBdr>
        <w:shd w:val="clear" w:color="auto" w:fill="FDF2F2"/>
      </w:pPr>
      <w:r>
        <w:rPr>
          <w:b/>
          <w:color w:val="A51C1C"/>
          <w:sz w:val="20"/>
        </w:rPr>
        <w:t xml:space="preserve">CAPTURA 8  </w:t>
      </w:r>
      <w:r>
        <w:rPr>
          <w:sz w:val="20"/>
        </w:rPr>
        <w:t>Ventana de configuración de la conexión en DBeaver con host, puerto y usuario visibles.</w:t>
      </w:r>
    </w:p>
    <w:p>
      <w:pPr>
        <w:spacing w:before="160" w:after="160"/>
        <w:ind w:left="216"/>
        <w:pBdr>
          <w:left w:val="single" w:sz="18" w:space="8" w:color="A51C1C"/>
        </w:pBdr>
        <w:shd w:val="clear" w:color="auto" w:fill="FDF2F2"/>
      </w:pPr>
      <w:r>
        <w:rPr>
          <w:b/>
          <w:color w:val="A51C1C"/>
          <w:sz w:val="20"/>
        </w:rPr>
        <w:t xml:space="preserve">CAPTURA 9  </w:t>
      </w:r>
      <w:r>
        <w:rPr>
          <w:sz w:val="20"/>
        </w:rPr>
        <w:t>Resultado de Test Connection indicando conexión exitosa y la versión del servidor.</w:t>
      </w:r>
    </w:p>
    <w:p>
      <w:pPr>
        <w:spacing w:before="240" w:after="80"/>
      </w:pPr>
      <w:r>
        <w:rPr>
          <w:b/>
          <w:color w:val="1F4E79"/>
          <w:sz w:val="23"/>
        </w:rPr>
        <w:t>Paso 7 — Crear la base de datos y ejecutar los scripts</w:t>
      </w:r>
    </w:p>
    <w:p>
      <w:pPr>
        <w:spacing w:after="80"/>
      </w:pPr>
      <w:r>
        <w:rPr>
          <w:sz w:val="21"/>
        </w:rPr>
        <w:t>Ya conectado, abrir un editor SQL y ejecutar el script del modelo. El orden es:</w:t>
      </w:r>
    </w:p>
    <w:p>
      <w:pPr>
        <w:spacing w:before="120" w:after="120"/>
        <w:ind w:left="432"/>
        <w:shd w:val="clear" w:color="auto" w:fill="F2F2F2"/>
      </w:pPr>
      <w:r>
        <w:rPr>
          <w:rFonts w:ascii="Consolas" w:hAnsi="Consolas" w:eastAsia="Consolas"/>
          <w:sz w:val="19"/>
        </w:rPr>
        <w:t>proyecto_cadenaFrio_PGSQL_01_scriptModelo_20260811.sql</w:t>
        <w:br/>
        <w:t>proyecto_cadenaFrio_PGSQL_03_consultas_20260811.sql</w:t>
        <w:br/>
        <w:t>proyecto_cadenaFrio_PGSQL_04_funcionCTEWindow_20260811.sql</w:t>
      </w:r>
    </w:p>
    <w:p>
      <w:pPr>
        <w:spacing w:before="160" w:after="160"/>
        <w:ind w:left="216"/>
        <w:pBdr>
          <w:left w:val="single" w:sz="18" w:space="8" w:color="1E6B2E"/>
        </w:pBdr>
        <w:shd w:val="clear" w:color="auto" w:fill="F1F8F2"/>
      </w:pPr>
      <w:r>
        <w:rPr>
          <w:b/>
          <w:color w:val="1E6B2E"/>
          <w:sz w:val="20"/>
        </w:rPr>
        <w:t xml:space="preserve">Al ejecutar sobre Azure. </w:t>
      </w:r>
      <w:r>
        <w:rPr>
          <w:sz w:val="20"/>
        </w:rPr>
        <w:t>El script 01 arranca con dos líneas de docker pull y docker run que corresponden al despliegue local en contenedor. Si trabaja contra Azure, esas dos líneas no se ejecutan: el servidor ya está aprovisionado. Todo lo demás del script se ejecuta igual.</w:t>
      </w:r>
    </w:p>
    <w:p>
      <w:pPr>
        <w:spacing w:after="80"/>
      </w:pPr>
      <w:r>
        <w:rPr>
          <w:sz w:val="21"/>
        </w:rPr>
        <w:t>La carga del CSV se hace con el asistente de importación de DBeaver, indicando delimitador punto y coma y codificación UTF-8, porque la instrucción \copy de psql lee archivos del equipo cliente y no aplica desde un editor gráfico.</w:t>
      </w:r>
    </w:p>
    <w:p>
      <w:pPr>
        <w:spacing w:before="160" w:after="160"/>
        <w:ind w:left="216"/>
        <w:pBdr>
          <w:left w:val="single" w:sz="18" w:space="8" w:color="A51C1C"/>
        </w:pBdr>
        <w:shd w:val="clear" w:color="auto" w:fill="FDF2F2"/>
      </w:pPr>
      <w:r>
        <w:rPr>
          <w:b/>
          <w:color w:val="A51C1C"/>
          <w:sz w:val="20"/>
        </w:rPr>
        <w:t xml:space="preserve">CAPTURA 10  </w:t>
      </w:r>
      <w:r>
        <w:rPr>
          <w:sz w:val="20"/>
        </w:rPr>
        <w:t>Script del modelo ejecutado sin errores, con el árbol de tablas del esquema corregido desplegado en el panel izquierdo.</w:t>
      </w:r>
    </w:p>
    <w:p>
      <w:pPr>
        <w:spacing w:before="160" w:after="160"/>
        <w:ind w:left="216"/>
        <w:pBdr>
          <w:left w:val="single" w:sz="18" w:space="8" w:color="A51C1C"/>
        </w:pBdr>
        <w:shd w:val="clear" w:color="auto" w:fill="FDF2F2"/>
      </w:pPr>
      <w:r>
        <w:rPr>
          <w:b/>
          <w:color w:val="A51C1C"/>
          <w:sz w:val="20"/>
        </w:rPr>
        <w:t xml:space="preserve">CAPTURA 11  </w:t>
      </w:r>
      <w:r>
        <w:rPr>
          <w:sz w:val="20"/>
        </w:rPr>
        <w:t>Resultado de la consulta de validación de conteos: 18, 6, 10, 3, 67, 259, 25, 1000, 1000.</w:t>
      </w:r>
    </w:p>
    <w:p>
      <w:pPr>
        <w:spacing w:before="240" w:after="80"/>
      </w:pPr>
      <w:r>
        <w:rPr>
          <w:b/>
          <w:color w:val="1F4E79"/>
          <w:sz w:val="23"/>
        </w:rPr>
        <w:t>Paso 8 — Evidencia de conexión cifrada (bonificación)</w:t>
      </w:r>
    </w:p>
    <w:p>
      <w:pPr>
        <w:spacing w:after="80"/>
      </w:pPr>
      <w:r>
        <w:rPr>
          <w:sz w:val="21"/>
        </w:rPr>
        <w:t>Este es el paso que sustenta la bonificación. Ejecutar en el editor SQL, ya conectado a Azure:</w:t>
      </w:r>
    </w:p>
    <w:p>
      <w:pPr>
        <w:spacing w:before="120" w:after="120"/>
        <w:ind w:left="432"/>
        <w:shd w:val="clear" w:color="auto" w:fill="F2F2F2"/>
      </w:pPr>
      <w:r>
        <w:rPr>
          <w:rFonts w:ascii="Consolas" w:hAnsi="Consolas" w:eastAsia="Consolas"/>
          <w:sz w:val="19"/>
        </w:rPr>
        <w:t>-- 1. El servidor tiene TLS habilitado</w:t>
        <w:br/>
        <w:t>show ssl;</w:t>
        <w:br/>
        <w:br/>
        <w:t>-- 2. ESTA sesión concreta viaja cifrada, con protocolo y algoritmo</w:t>
        <w:br/>
        <w:t>select ssl, version, cipher, bits</w:t>
        <w:br/>
        <w:t>from pg_stat_ssl</w:t>
        <w:br/>
        <w:t>where pid = pg_backend_pid();</w:t>
        <w:br/>
        <w:br/>
        <w:t>-- 3. Identificación de la sesión</w:t>
        <w:br/>
        <w:t>select current_user, inet_server_addr() servidor, inet_server_port() puerto;</w:t>
      </w:r>
    </w:p>
    <w:p>
      <w:pPr>
        <w:spacing w:after="80"/>
      </w:pPr>
      <w:r>
        <w:rPr>
          <w:sz w:val="21"/>
        </w:rPr>
        <w:t>La segunda consulta debe devolver ssl = true junto con la versión de TLS y el algoritmo de cifrado. Eso demuestra que el tráfico va cifrado, no solo que el servidor lo soporta.</w:t>
      </w:r>
    </w:p>
    <w:p>
      <w:pPr>
        <w:spacing w:before="160" w:after="160"/>
        <w:ind w:left="216"/>
        <w:pBdr>
          <w:left w:val="single" w:sz="18" w:space="8" w:color="A51C1C"/>
        </w:pBdr>
        <w:shd w:val="clear" w:color="auto" w:fill="FDF2F2"/>
      </w:pPr>
      <w:r>
        <w:rPr>
          <w:b/>
          <w:color w:val="A51C1C"/>
          <w:sz w:val="20"/>
        </w:rPr>
        <w:t xml:space="preserve">CAPTURA 12  </w:t>
      </w:r>
      <w:r>
        <w:rPr>
          <w:sz w:val="20"/>
        </w:rPr>
        <w:t>Resultado de las tres consultas, con ssl = true y la versión de TLS visible. Esta es LA captura de la bonificación.</w:t>
      </w:r>
    </w:p>
    <w:p>
      <w:pPr>
        <w:spacing w:before="160" w:after="160"/>
        <w:ind w:left="216"/>
        <w:pBdr>
          <w:left w:val="single" w:sz="18" w:space="8" w:color="1E6B2E"/>
        </w:pBdr>
        <w:shd w:val="clear" w:color="auto" w:fill="F1F8F2"/>
      </w:pPr>
      <w:r>
        <w:rPr>
          <w:b/>
          <w:color w:val="1E6B2E"/>
          <w:sz w:val="20"/>
        </w:rPr>
        <w:t xml:space="preserve">Antes de cerrar: borrar los recursos. </w:t>
      </w:r>
      <w:r>
        <w:rPr>
          <w:sz w:val="20"/>
        </w:rPr>
        <w:t>Al terminar el examen, elimine el grupo de recursos rg-cadenafrio desde el portal. Mientras el servidor exista sigue consumiendo la cuota gratuita, y cuando esa cuota se agote empieza a generar cobro.</w:t>
      </w:r>
    </w:p>
    <w:p>
      <w:r>
        <w:br w:type="page"/>
      </w:r>
    </w:p>
    <w:p>
      <w:pPr>
        <w:pStyle w:val="Heading1"/>
      </w:pPr>
      <w:r>
        <w:rPr>
          <w:color w:val="1F4E79"/>
        </w:rPr>
        <w:t>Parte B — José Miguel Jaramillo · SQL Server 2025 en Docker + DBeaver</w:t>
      </w:r>
    </w:p>
    <w:p>
      <w:pPr>
        <w:spacing w:after="80"/>
      </w:pPr>
      <w:r>
        <w:rPr>
          <w:sz w:val="21"/>
        </w:rPr>
        <w:t>Se despliega Microsoft SQL Server 2025 en un contenedor Docker local y se accede con DBeaver Community. Los comandos siguen la Guía rápida de abastecimiento de imágenes para Docker publicada por el docente para el curso.</w:t>
      </w:r>
    </w:p>
    <w:p>
      <w:pPr>
        <w:spacing w:before="240" w:after="80"/>
      </w:pPr>
      <w:r>
        <w:rPr>
          <w:b/>
          <w:color w:val="1F4E79"/>
          <w:sz w:val="23"/>
        </w:rPr>
        <w:t>Paso 1 — Prerrequisitos del equipo</w:t>
      </w:r>
    </w:p>
    <w:p>
      <w:pPr>
        <w:pStyle w:val="ListBullet"/>
        <w:spacing w:after="40"/>
      </w:pPr>
      <w:r>
        <w:rPr>
          <w:sz w:val="21"/>
        </w:rPr>
        <w:t>Virtualización habilitada en la BIOS/UEFI (Intel VT-x o AMD-V).</w:t>
      </w:r>
    </w:p>
    <w:p>
      <w:pPr>
        <w:pStyle w:val="ListBullet"/>
        <w:spacing w:after="40"/>
      </w:pPr>
      <w:r>
        <w:rPr>
          <w:sz w:val="21"/>
        </w:rPr>
        <w:t>En Windows 10 u 11, instalar WSL 2. Verificar con el comando siguiente.</w:t>
      </w:r>
    </w:p>
    <w:p>
      <w:pPr>
        <w:spacing w:before="120" w:after="120"/>
        <w:ind w:left="432"/>
        <w:shd w:val="clear" w:color="auto" w:fill="F2F2F2"/>
      </w:pPr>
      <w:r>
        <w:rPr>
          <w:rFonts w:ascii="Consolas" w:hAnsi="Consolas" w:eastAsia="Consolas"/>
          <w:sz w:val="19"/>
        </w:rPr>
        <w:t>wsl -l -v</w:t>
      </w:r>
    </w:p>
    <w:p>
      <w:pPr>
        <w:pStyle w:val="ListBullet"/>
        <w:spacing w:after="40"/>
      </w:pPr>
      <w:r>
        <w:rPr>
          <w:sz w:val="21"/>
        </w:rPr>
        <w:t>Instalar Docker Desktop desde docker.com y confirmar que usa la integración con WSL 2.</w:t>
      </w:r>
    </w:p>
    <w:p>
      <w:pPr>
        <w:spacing w:before="160" w:after="160"/>
        <w:ind w:left="216"/>
        <w:pBdr>
          <w:left w:val="single" w:sz="18" w:space="8" w:color="A51C1C"/>
        </w:pBdr>
        <w:shd w:val="clear" w:color="auto" w:fill="FDF2F2"/>
      </w:pPr>
      <w:r>
        <w:rPr>
          <w:b/>
          <w:color w:val="A51C1C"/>
          <w:sz w:val="20"/>
        </w:rPr>
        <w:t xml:space="preserve">CAPTURA 13  </w:t>
      </w:r>
      <w:r>
        <w:rPr>
          <w:sz w:val="20"/>
        </w:rPr>
        <w:t>Salida de wsl -l -v mostrando la distribución en VERSION 2.</w:t>
      </w:r>
    </w:p>
    <w:p>
      <w:pPr>
        <w:spacing w:before="160" w:after="160"/>
        <w:ind w:left="216"/>
        <w:pBdr>
          <w:left w:val="single" w:sz="18" w:space="8" w:color="A51C1C"/>
        </w:pBdr>
        <w:shd w:val="clear" w:color="auto" w:fill="FDF2F2"/>
      </w:pPr>
      <w:r>
        <w:rPr>
          <w:b/>
          <w:color w:val="A51C1C"/>
          <w:sz w:val="20"/>
        </w:rPr>
        <w:t xml:space="preserve">CAPTURA 14  </w:t>
      </w:r>
      <w:r>
        <w:rPr>
          <w:sz w:val="20"/>
        </w:rPr>
        <w:t>Docker Desktop abierto, con el indicador de estado en verde (Engine running).</w:t>
      </w:r>
    </w:p>
    <w:p>
      <w:pPr>
        <w:spacing w:before="240" w:after="80"/>
      </w:pPr>
      <w:r>
        <w:rPr>
          <w:b/>
          <w:color w:val="1F4E79"/>
          <w:sz w:val="23"/>
        </w:rPr>
        <w:t>Paso 2 — Descargar la imagen de SQL Server 2025</w:t>
      </w:r>
    </w:p>
    <w:p>
      <w:pPr>
        <w:spacing w:before="120" w:after="120"/>
        <w:ind w:left="432"/>
        <w:shd w:val="clear" w:color="auto" w:fill="F2F2F2"/>
      </w:pPr>
      <w:r>
        <w:rPr>
          <w:rFonts w:ascii="Consolas" w:hAnsi="Consolas" w:eastAsia="Consolas"/>
          <w:sz w:val="19"/>
        </w:rPr>
        <w:t>docker pull mcr.microsoft.com/mssql/server:2025-latest</w:t>
      </w:r>
    </w:p>
    <w:p>
      <w:pPr>
        <w:spacing w:after="80"/>
      </w:pPr>
      <w:r>
        <w:rPr>
          <w:sz w:val="21"/>
        </w:rPr>
        <w:t>Verificar que la imagen quedó descargada:</w:t>
      </w:r>
    </w:p>
    <w:p>
      <w:pPr>
        <w:spacing w:before="120" w:after="120"/>
        <w:ind w:left="432"/>
        <w:shd w:val="clear" w:color="auto" w:fill="F2F2F2"/>
      </w:pPr>
      <w:r>
        <w:rPr>
          <w:rFonts w:ascii="Consolas" w:hAnsi="Consolas" w:eastAsia="Consolas"/>
          <w:sz w:val="19"/>
        </w:rPr>
        <w:t>docker images</w:t>
      </w:r>
    </w:p>
    <w:p>
      <w:pPr>
        <w:spacing w:before="160" w:after="160"/>
        <w:ind w:left="216"/>
        <w:pBdr>
          <w:left w:val="single" w:sz="18" w:space="8" w:color="A51C1C"/>
        </w:pBdr>
        <w:shd w:val="clear" w:color="auto" w:fill="FDF2F2"/>
      </w:pPr>
      <w:r>
        <w:rPr>
          <w:b/>
          <w:color w:val="A51C1C"/>
          <w:sz w:val="20"/>
        </w:rPr>
        <w:t xml:space="preserve">CAPTURA 15  </w:t>
      </w:r>
      <w:r>
        <w:rPr>
          <w:sz w:val="20"/>
        </w:rPr>
        <w:t>Salida de docker images con la imagen de SQL Server listada.</w:t>
      </w:r>
    </w:p>
    <w:p>
      <w:pPr>
        <w:spacing w:before="240" w:after="80"/>
      </w:pPr>
      <w:r>
        <w:rPr>
          <w:b/>
          <w:color w:val="1F4E79"/>
          <w:sz w:val="23"/>
        </w:rPr>
        <w:t>Paso 3 — Crear y arrancar el contenedor</w:t>
      </w:r>
    </w:p>
    <w:p>
      <w:pPr>
        <w:spacing w:before="120" w:after="120"/>
        <w:ind w:left="432"/>
        <w:shd w:val="clear" w:color="auto" w:fill="F2F2F2"/>
      </w:pPr>
      <w:r>
        <w:rPr>
          <w:rFonts w:ascii="Consolas" w:hAnsi="Consolas" w:eastAsia="Consolas"/>
          <w:sz w:val="19"/>
        </w:rPr>
        <w:t>docker run --name sqlsrv-cadenafrio -e "ACCEPT_EULA=Y" -e "MSSQL_SA_PASSWORD=unaClav3" -p 1433:1433 -d mcr.microsoft.com/mssql/server:2025-latest</w:t>
      </w:r>
    </w:p>
    <w:p>
      <w:pPr>
        <w:spacing w:before="160" w:after="160"/>
        <w:ind w:left="216"/>
        <w:pBdr>
          <w:left w:val="single" w:sz="18" w:space="8" w:color="1E6B2E"/>
        </w:pBdr>
        <w:shd w:val="clear" w:color="auto" w:fill="F1F8F2"/>
      </w:pPr>
      <w:r>
        <w:rPr>
          <w:b/>
          <w:color w:val="1E6B2E"/>
          <w:sz w:val="20"/>
        </w:rPr>
        <w:t xml:space="preserve">Sobre la contraseña. </w:t>
      </w:r>
      <w:r>
        <w:rPr>
          <w:sz w:val="20"/>
        </w:rPr>
        <w:t>La contraseña debe cumplir la política de complejidad de SQL Server: mínimo 8 caracteres con mayúscula, minúscula y dígito. Si el contenedor arranca y se detiene solo, casi siempre es eso. Revise el motivo con docker logs sqlsrv-cadenafrio. En imágenes antiguas la variable se llamaba SA_PASSWORD en lugar de MSSQL_SA_PASSWORD.</w:t>
      </w:r>
    </w:p>
    <w:p>
      <w:pPr>
        <w:spacing w:after="80"/>
      </w:pPr>
      <w:r>
        <w:rPr>
          <w:sz w:val="21"/>
        </w:rPr>
        <w:t>Confirmar que el contenedor está operativo:</w:t>
      </w:r>
    </w:p>
    <w:p>
      <w:pPr>
        <w:spacing w:before="120" w:after="120"/>
        <w:ind w:left="432"/>
        <w:shd w:val="clear" w:color="auto" w:fill="F2F2F2"/>
      </w:pPr>
      <w:r>
        <w:rPr>
          <w:rFonts w:ascii="Consolas" w:hAnsi="Consolas" w:eastAsia="Consolas"/>
          <w:sz w:val="19"/>
        </w:rPr>
        <w:t>docker ps</w:t>
      </w:r>
    </w:p>
    <w:p>
      <w:pPr>
        <w:spacing w:before="160" w:after="160"/>
        <w:ind w:left="216"/>
        <w:pBdr>
          <w:left w:val="single" w:sz="18" w:space="8" w:color="A51C1C"/>
        </w:pBdr>
        <w:shd w:val="clear" w:color="auto" w:fill="FDF2F2"/>
      </w:pPr>
      <w:r>
        <w:rPr>
          <w:b/>
          <w:color w:val="A51C1C"/>
          <w:sz w:val="20"/>
        </w:rPr>
        <w:t xml:space="preserve">CAPTURA 16  </w:t>
      </w:r>
      <w:r>
        <w:rPr>
          <w:sz w:val="20"/>
        </w:rPr>
        <w:t>Salida de docker ps mostrando el contenedor en estado Up y el mapeo de puertos 0.0.0.0:1433-&gt;1433/tcp.</w:t>
      </w:r>
    </w:p>
    <w:p>
      <w:pPr>
        <w:spacing w:before="160" w:after="160"/>
        <w:ind w:left="216"/>
        <w:pBdr>
          <w:left w:val="single" w:sz="18" w:space="8" w:color="A51C1C"/>
        </w:pBdr>
        <w:shd w:val="clear" w:color="auto" w:fill="FDF2F2"/>
      </w:pPr>
      <w:r>
        <w:rPr>
          <w:b/>
          <w:color w:val="A51C1C"/>
          <w:sz w:val="20"/>
        </w:rPr>
        <w:t xml:space="preserve">CAPTURA 17  </w:t>
      </w:r>
      <w:r>
        <w:rPr>
          <w:sz w:val="20"/>
        </w:rPr>
        <w:t>Vista del contenedor en la interfaz gráfica de Docker Desktop.</w:t>
      </w:r>
    </w:p>
    <w:p>
      <w:pPr>
        <w:spacing w:before="240" w:after="80"/>
      </w:pPr>
      <w:r>
        <w:rPr>
          <w:b/>
          <w:color w:val="1F4E79"/>
          <w:sz w:val="23"/>
        </w:rPr>
        <w:t>Paso 4 — Conectarse desde DBeaver</w:t>
      </w:r>
    </w:p>
    <w:p>
      <w:pPr>
        <w:spacing w:after="80"/>
      </w:pPr>
      <w:r>
        <w:rPr>
          <w:sz w:val="21"/>
        </w:rPr>
        <w:t>Instalar DBeaver Community desde dbeaver.io y crear una conexión nueva:</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20"/>
              </w:rPr>
              <w:t>Parámetro</w:t>
            </w:r>
          </w:p>
        </w:tc>
        <w:tc>
          <w:tcPr>
            <w:tcW w:type="dxa" w:w="4824"/>
          </w:tcPr>
          <w:p>
            <w:r/>
            <w:r>
              <w:rPr>
                <w:b/>
                <w:sz w:val="20"/>
              </w:rPr>
              <w:t>Valor</w:t>
            </w:r>
          </w:p>
        </w:tc>
      </w:tr>
      <w:tr>
        <w:tc>
          <w:tcPr>
            <w:tcW w:type="dxa" w:w="4824"/>
          </w:tcPr>
          <w:p>
            <w:r/>
            <w:r>
              <w:rPr>
                <w:sz w:val="20"/>
              </w:rPr>
              <w:t>Driver</w:t>
            </w:r>
          </w:p>
        </w:tc>
        <w:tc>
          <w:tcPr>
            <w:tcW w:type="dxa" w:w="4824"/>
          </w:tcPr>
          <w:p>
            <w:r/>
            <w:r>
              <w:rPr>
                <w:sz w:val="20"/>
              </w:rPr>
              <w:t>SQL Server (jTDS o Microsoft Driver)</w:t>
            </w:r>
          </w:p>
        </w:tc>
      </w:tr>
      <w:tr>
        <w:tc>
          <w:tcPr>
            <w:tcW w:type="dxa" w:w="4824"/>
          </w:tcPr>
          <w:p>
            <w:r/>
            <w:r>
              <w:rPr>
                <w:sz w:val="20"/>
              </w:rPr>
              <w:t>Host</w:t>
            </w:r>
          </w:p>
        </w:tc>
        <w:tc>
          <w:tcPr>
            <w:tcW w:type="dxa" w:w="4824"/>
          </w:tcPr>
          <w:p>
            <w:r/>
            <w:r>
              <w:rPr>
                <w:sz w:val="20"/>
              </w:rPr>
              <w:t>localhost</w:t>
            </w:r>
          </w:p>
        </w:tc>
      </w:tr>
      <w:tr>
        <w:tc>
          <w:tcPr>
            <w:tcW w:type="dxa" w:w="4824"/>
          </w:tcPr>
          <w:p>
            <w:r/>
            <w:r>
              <w:rPr>
                <w:sz w:val="20"/>
              </w:rPr>
              <w:t>Puerto TCP</w:t>
            </w:r>
          </w:p>
        </w:tc>
        <w:tc>
          <w:tcPr>
            <w:tcW w:type="dxa" w:w="4824"/>
          </w:tcPr>
          <w:p>
            <w:r/>
            <w:r>
              <w:rPr>
                <w:sz w:val="20"/>
              </w:rPr>
              <w:t>1433</w:t>
            </w:r>
          </w:p>
        </w:tc>
      </w:tr>
      <w:tr>
        <w:tc>
          <w:tcPr>
            <w:tcW w:type="dxa" w:w="4824"/>
          </w:tcPr>
          <w:p>
            <w:r/>
            <w:r>
              <w:rPr>
                <w:sz w:val="20"/>
              </w:rPr>
              <w:t>Base de datos</w:t>
            </w:r>
          </w:p>
        </w:tc>
        <w:tc>
          <w:tcPr>
            <w:tcW w:type="dxa" w:w="4824"/>
          </w:tcPr>
          <w:p>
            <w:r/>
            <w:r>
              <w:rPr>
                <w:sz w:val="20"/>
              </w:rPr>
              <w:t>master (inicialmente)</w:t>
            </w:r>
          </w:p>
        </w:tc>
      </w:tr>
      <w:tr>
        <w:tc>
          <w:tcPr>
            <w:tcW w:type="dxa" w:w="4824"/>
          </w:tcPr>
          <w:p>
            <w:r/>
            <w:r>
              <w:rPr>
                <w:sz w:val="20"/>
              </w:rPr>
              <w:t>Usuario</w:t>
            </w:r>
          </w:p>
        </w:tc>
        <w:tc>
          <w:tcPr>
            <w:tcW w:type="dxa" w:w="4824"/>
          </w:tcPr>
          <w:p>
            <w:r/>
            <w:r>
              <w:rPr>
                <w:sz w:val="20"/>
              </w:rPr>
              <w:t>sa</w:t>
            </w:r>
          </w:p>
        </w:tc>
      </w:tr>
      <w:tr>
        <w:tc>
          <w:tcPr>
            <w:tcW w:type="dxa" w:w="4824"/>
          </w:tcPr>
          <w:p>
            <w:r/>
            <w:r>
              <w:rPr>
                <w:sz w:val="20"/>
              </w:rPr>
              <w:t>Contraseña</w:t>
            </w:r>
          </w:p>
        </w:tc>
        <w:tc>
          <w:tcPr>
            <w:tcW w:type="dxa" w:w="4824"/>
          </w:tcPr>
          <w:p>
            <w:r/>
            <w:r>
              <w:rPr>
                <w:sz w:val="20"/>
              </w:rPr>
              <w:t>unaClav3</w:t>
            </w:r>
          </w:p>
        </w:tc>
      </w:tr>
      <w:tr>
        <w:tc>
          <w:tcPr>
            <w:tcW w:type="dxa" w:w="4824"/>
          </w:tcPr>
          <w:p>
            <w:r/>
            <w:r>
              <w:rPr>
                <w:sz w:val="20"/>
              </w:rPr>
              <w:t>Trust server certificate</w:t>
            </w:r>
          </w:p>
        </w:tc>
        <w:tc>
          <w:tcPr>
            <w:tcW w:type="dxa" w:w="4824"/>
          </w:tcPr>
          <w:p>
            <w:r/>
            <w:r>
              <w:rPr>
                <w:sz w:val="20"/>
              </w:rPr>
              <w:t>Activado</w:t>
            </w:r>
          </w:p>
        </w:tc>
      </w:tr>
    </w:tbl>
    <w:p>
      <w:pPr>
        <w:spacing w:before="160" w:after="160"/>
        <w:ind w:left="216"/>
        <w:pBdr>
          <w:left w:val="single" w:sz="18" w:space="8" w:color="1E6B2E"/>
        </w:pBdr>
        <w:shd w:val="clear" w:color="auto" w:fill="F1F8F2"/>
      </w:pPr>
      <w:r>
        <w:rPr>
          <w:b/>
          <w:color w:val="1E6B2E"/>
          <w:sz w:val="20"/>
        </w:rPr>
        <w:t xml:space="preserve">Puerto TCP y certificado. </w:t>
      </w:r>
      <w:r>
        <w:rPr>
          <w:sz w:val="20"/>
        </w:rPr>
        <w:t>El puerto TCP de SQL Server es el 1433, y esa es la respuesta a la pregunta del enunciado sobre qué puertos habilitar. El contenedor lo expone como si el motor corriera localmente, por eso el servidor es localhost. Si no se activa Trust server certificate, la conexión falla con un error de certificado, porque el contenedor usa uno autofirmado.</w:t>
      </w:r>
    </w:p>
    <w:p>
      <w:pPr>
        <w:pStyle w:val="ListBullet"/>
        <w:spacing w:after="40"/>
      </w:pPr>
      <w:r>
        <w:rPr>
          <w:sz w:val="21"/>
        </w:rPr>
        <w:t>Pulsar Test Connection. Debe reportar la versión de SQL Server 2025.</w:t>
      </w:r>
    </w:p>
    <w:p>
      <w:pPr>
        <w:spacing w:before="160" w:after="160"/>
        <w:ind w:left="216"/>
        <w:pBdr>
          <w:left w:val="single" w:sz="18" w:space="8" w:color="A51C1C"/>
        </w:pBdr>
        <w:shd w:val="clear" w:color="auto" w:fill="FDF2F2"/>
      </w:pPr>
      <w:r>
        <w:rPr>
          <w:b/>
          <w:color w:val="A51C1C"/>
          <w:sz w:val="20"/>
        </w:rPr>
        <w:t xml:space="preserve">CAPTURA 18  </w:t>
      </w:r>
      <w:r>
        <w:rPr>
          <w:sz w:val="20"/>
        </w:rPr>
        <w:t>Ventana de conexión de DBeaver con host, puerto 1433 y usuario sa.</w:t>
      </w:r>
    </w:p>
    <w:p>
      <w:pPr>
        <w:spacing w:before="160" w:after="160"/>
        <w:ind w:left="216"/>
        <w:pBdr>
          <w:left w:val="single" w:sz="18" w:space="8" w:color="A51C1C"/>
        </w:pBdr>
        <w:shd w:val="clear" w:color="auto" w:fill="FDF2F2"/>
      </w:pPr>
      <w:r>
        <w:rPr>
          <w:b/>
          <w:color w:val="A51C1C"/>
          <w:sz w:val="20"/>
        </w:rPr>
        <w:t xml:space="preserve">CAPTURA 19  </w:t>
      </w:r>
      <w:r>
        <w:rPr>
          <w:sz w:val="20"/>
        </w:rPr>
        <w:t>Test Connection exitoso mostrando la versión del motor.</w:t>
      </w:r>
    </w:p>
    <w:p>
      <w:pPr>
        <w:spacing w:before="240" w:after="80"/>
      </w:pPr>
      <w:r>
        <w:rPr>
          <w:b/>
          <w:color w:val="1F4E79"/>
          <w:sz w:val="23"/>
        </w:rPr>
        <w:t>Paso 5 — Adaptar y ejecutar el modelo en T-SQL</w:t>
      </w:r>
    </w:p>
    <w:p>
      <w:pPr>
        <w:spacing w:after="80"/>
      </w:pPr>
      <w:r>
        <w:rPr>
          <w:sz w:val="21"/>
        </w:rPr>
        <w:t>Los scripts del repositorio están escritos en PL/pgSQL para PostgreSQL. La versión de SQL Server requiere las siguientes equivalencias:</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20"/>
              </w:rPr>
              <w:t>PostgreSQL</w:t>
            </w:r>
          </w:p>
        </w:tc>
        <w:tc>
          <w:tcPr>
            <w:tcW w:type="dxa" w:w="4824"/>
          </w:tcPr>
          <w:p>
            <w:r/>
            <w:r>
              <w:rPr>
                <w:b/>
                <w:sz w:val="20"/>
              </w:rPr>
              <w:t>SQL Server 2025</w:t>
            </w:r>
          </w:p>
        </w:tc>
      </w:tr>
      <w:tr>
        <w:tc>
          <w:tcPr>
            <w:tcW w:type="dxa" w:w="4824"/>
          </w:tcPr>
          <w:p>
            <w:r/>
            <w:r>
              <w:rPr>
                <w:sz w:val="20"/>
              </w:rPr>
              <w:t>create user ... with encrypted password</w:t>
            </w:r>
          </w:p>
        </w:tc>
        <w:tc>
          <w:tcPr>
            <w:tcW w:type="dxa" w:w="4824"/>
          </w:tcPr>
          <w:p>
            <w:r/>
            <w:r>
              <w:rPr>
                <w:sz w:val="20"/>
              </w:rPr>
              <w:t>create login + create user</w:t>
            </w:r>
          </w:p>
        </w:tc>
      </w:tr>
      <w:tr>
        <w:tc>
          <w:tcPr>
            <w:tcW w:type="dxa" w:w="4824"/>
          </w:tcPr>
          <w:p>
            <w:r/>
            <w:r>
              <w:rPr>
                <w:sz w:val="20"/>
              </w:rPr>
              <w:t>text</w:t>
            </w:r>
          </w:p>
        </w:tc>
        <w:tc>
          <w:tcPr>
            <w:tcW w:type="dxa" w:w="4824"/>
          </w:tcPr>
          <w:p>
            <w:r/>
            <w:r>
              <w:rPr>
                <w:sz w:val="20"/>
              </w:rPr>
              <w:t>varchar(max) o varchar(n)</w:t>
            </w:r>
          </w:p>
        </w:tc>
      </w:tr>
      <w:tr>
        <w:tc>
          <w:tcPr>
            <w:tcW w:type="dxa" w:w="4824"/>
          </w:tcPr>
          <w:p>
            <w:r/>
            <w:r>
              <w:rPr>
                <w:sz w:val="20"/>
              </w:rPr>
              <w:t>generated always as identity</w:t>
            </w:r>
          </w:p>
        </w:tc>
        <w:tc>
          <w:tcPr>
            <w:tcW w:type="dxa" w:w="4824"/>
          </w:tcPr>
          <w:p>
            <w:r/>
            <w:r>
              <w:rPr>
                <w:sz w:val="20"/>
              </w:rPr>
              <w:t>int identity(1,1)</w:t>
            </w:r>
          </w:p>
        </w:tc>
      </w:tr>
      <w:tr>
        <w:tc>
          <w:tcPr>
            <w:tcW w:type="dxa" w:w="4824"/>
          </w:tcPr>
          <w:p>
            <w:r/>
            <w:r>
              <w:rPr>
                <w:sz w:val="20"/>
              </w:rPr>
              <w:t>numeric(5,2)</w:t>
            </w:r>
          </w:p>
        </w:tc>
        <w:tc>
          <w:tcPr>
            <w:tcW w:type="dxa" w:w="4824"/>
          </w:tcPr>
          <w:p>
            <w:r/>
            <w:r>
              <w:rPr>
                <w:sz w:val="20"/>
              </w:rPr>
              <w:t>decimal(5,2)</w:t>
            </w:r>
          </w:p>
        </w:tc>
      </w:tr>
      <w:tr>
        <w:tc>
          <w:tcPr>
            <w:tcW w:type="dxa" w:w="4824"/>
          </w:tcPr>
          <w:p>
            <w:r/>
            <w:r>
              <w:rPr>
                <w:sz w:val="20"/>
              </w:rPr>
              <w:t>timestamp</w:t>
            </w:r>
          </w:p>
        </w:tc>
        <w:tc>
          <w:tcPr>
            <w:tcW w:type="dxa" w:w="4824"/>
          </w:tcPr>
          <w:p>
            <w:r/>
            <w:r>
              <w:rPr>
                <w:sz w:val="20"/>
              </w:rPr>
              <w:t>datetime2</w:t>
            </w:r>
          </w:p>
        </w:tc>
      </w:tr>
      <w:tr>
        <w:tc>
          <w:tcPr>
            <w:tcW w:type="dxa" w:w="4824"/>
          </w:tcPr>
          <w:p>
            <w:r/>
            <w:r>
              <w:rPr>
                <w:sz w:val="20"/>
              </w:rPr>
              <w:t>\copy ... from</w:t>
            </w:r>
          </w:p>
        </w:tc>
        <w:tc>
          <w:tcPr>
            <w:tcW w:type="dxa" w:w="4824"/>
          </w:tcPr>
          <w:p>
            <w:r/>
            <w:r>
              <w:rPr>
                <w:sz w:val="20"/>
              </w:rPr>
              <w:t>bulk insert o el asistente de importación</w:t>
            </w:r>
          </w:p>
        </w:tc>
      </w:tr>
      <w:tr>
        <w:tc>
          <w:tcPr>
            <w:tcW w:type="dxa" w:w="4824"/>
          </w:tcPr>
          <w:p>
            <w:r/>
            <w:r>
              <w:rPr>
                <w:sz w:val="20"/>
              </w:rPr>
              <w:t>returns table + return query</w:t>
            </w:r>
          </w:p>
        </w:tc>
        <w:tc>
          <w:tcPr>
            <w:tcW w:type="dxa" w:w="4824"/>
          </w:tcPr>
          <w:p>
            <w:r/>
            <w:r>
              <w:rPr>
                <w:sz w:val="20"/>
              </w:rPr>
              <w:t>función con valores de tabla (TVF)</w:t>
            </w:r>
          </w:p>
        </w:tc>
      </w:tr>
      <w:tr>
        <w:tc>
          <w:tcPr>
            <w:tcW w:type="dxa" w:w="4824"/>
          </w:tcPr>
          <w:p>
            <w:r/>
            <w:r>
              <w:rPr>
                <w:sz w:val="20"/>
              </w:rPr>
              <w:t>comment on table / column</w:t>
            </w:r>
          </w:p>
        </w:tc>
        <w:tc>
          <w:tcPr>
            <w:tcW w:type="dxa" w:w="4824"/>
          </w:tcPr>
          <w:p>
            <w:r/>
            <w:r>
              <w:rPr>
                <w:sz w:val="20"/>
              </w:rPr>
              <w:t>sp_addextendedproperty</w:t>
            </w:r>
          </w:p>
        </w:tc>
      </w:tr>
    </w:tbl>
    <w:p>
      <w:pPr>
        <w:spacing w:before="160" w:after="160"/>
        <w:ind w:left="216"/>
        <w:pBdr>
          <w:left w:val="single" w:sz="18" w:space="8" w:color="1E6B2E"/>
        </w:pBdr>
        <w:shd w:val="clear" w:color="auto" w:fill="F1F8F2"/>
      </w:pPr>
      <w:r>
        <w:rPr>
          <w:b/>
          <w:color w:val="1E6B2E"/>
          <w:sz w:val="20"/>
        </w:rPr>
        <w:t xml:space="preserve">Lo que no cambia. </w:t>
      </w:r>
      <w:r>
        <w:rPr>
          <w:sz w:val="20"/>
        </w:rPr>
        <w:t>Las Window Functions y las CTE se escriben igual en ambos motores: row_number(), lag(), lead(), sum() over y rank() tienen la misma sintaxis. La función de la Etapa 5 se traduce casi literalmente cambiando la declaración por create function ... returns table.</w:t>
      </w:r>
    </w:p>
    <w:p>
      <w:pPr>
        <w:spacing w:before="160" w:after="160"/>
        <w:ind w:left="216"/>
        <w:pBdr>
          <w:left w:val="single" w:sz="18" w:space="8" w:color="A51C1C"/>
        </w:pBdr>
        <w:shd w:val="clear" w:color="auto" w:fill="FDF2F2"/>
      </w:pPr>
      <w:r>
        <w:rPr>
          <w:b/>
          <w:color w:val="A51C1C"/>
          <w:sz w:val="20"/>
        </w:rPr>
        <w:t xml:space="preserve">CAPTURA 20  </w:t>
      </w:r>
      <w:r>
        <w:rPr>
          <w:sz w:val="20"/>
        </w:rPr>
        <w:t>Script del modelo ejecutado en DBeaver sin errores, con el árbol de tablas desplegado.</w:t>
      </w:r>
    </w:p>
    <w:p>
      <w:pPr>
        <w:spacing w:before="160" w:after="160"/>
        <w:ind w:left="216"/>
        <w:pBdr>
          <w:left w:val="single" w:sz="18" w:space="8" w:color="A51C1C"/>
        </w:pBdr>
        <w:shd w:val="clear" w:color="auto" w:fill="FDF2F2"/>
      </w:pPr>
      <w:r>
        <w:rPr>
          <w:b/>
          <w:color w:val="A51C1C"/>
          <w:sz w:val="20"/>
        </w:rPr>
        <w:t xml:space="preserve">CAPTURA 21  </w:t>
      </w:r>
      <w:r>
        <w:rPr>
          <w:sz w:val="20"/>
        </w:rPr>
        <w:t>Resultado de la consulta de validación de conteos.</w:t>
      </w:r>
    </w:p>
    <w:p>
      <w:r>
        <w:br w:type="page"/>
      </w:r>
    </w:p>
    <w:p>
      <w:pPr>
        <w:pStyle w:val="Heading1"/>
      </w:pPr>
      <w:r>
        <w:rPr>
          <w:color w:val="1F4E79"/>
        </w:rPr>
        <w:t>Parte C — Documento de interacción con la herramienta de IA</w:t>
      </w:r>
    </w:p>
    <w:p>
      <w:r>
        <w:rPr>
          <w:b/>
          <w:color w:val="A51C1C"/>
          <w:sz w:val="22"/>
        </w:rPr>
        <w:t>Su ausencia asigna automáticamente una nota de 0.00 por configurarse fraude.</w:t>
      </w:r>
    </w:p>
    <w:p>
      <w:pPr>
        <w:spacing w:after="80"/>
      </w:pPr>
      <w:r>
        <w:rPr>
          <w:sz w:val="21"/>
        </w:rPr>
        <w:t>El enunciado exige un PDF con capturas de pantalla de toda la interacción con la herramienta de inteligencia artificial. Los enlaces a las conversaciones no son válidos: tienen que ser imágenes.</w:t>
      </w:r>
    </w:p>
    <w:p>
      <w:pPr>
        <w:spacing w:after="80"/>
      </w:pPr>
      <w:r>
        <w:rPr>
          <w:sz w:val="21"/>
        </w:rPr>
        <w:t>Qué debe contener:</w:t>
      </w:r>
    </w:p>
    <w:p>
      <w:pPr>
        <w:pStyle w:val="ListBullet"/>
        <w:spacing w:after="40"/>
      </w:pPr>
      <w:r>
        <w:rPr>
          <w:sz w:val="21"/>
        </w:rPr>
        <w:t>Capturas de la conversación completa, en orden cronológico, desde el primer mensaje.</w:t>
      </w:r>
    </w:p>
    <w:p>
      <w:pPr>
        <w:pStyle w:val="ListBullet"/>
        <w:spacing w:after="40"/>
      </w:pPr>
      <w:r>
        <w:rPr>
          <w:sz w:val="21"/>
        </w:rPr>
        <w:t>Que se lean tanto las peticiones hechas como las respuestas recibidas.</w:t>
      </w:r>
    </w:p>
    <w:p>
      <w:pPr>
        <w:pStyle w:val="ListBullet"/>
        <w:spacing w:after="40"/>
      </w:pPr>
      <w:r>
        <w:rPr>
          <w:sz w:val="21"/>
        </w:rPr>
        <w:t>Las capturas del proceso de diseño del modelo de datos y de la normalización.</w:t>
      </w:r>
    </w:p>
    <w:p>
      <w:pPr>
        <w:pStyle w:val="ListBullet"/>
        <w:spacing w:after="40"/>
      </w:pPr>
      <w:r>
        <w:rPr>
          <w:sz w:val="21"/>
        </w:rPr>
        <w:t>Las capturas de la construcción de la pregunta de la Etapa 5, incluido el plan previo del top 10.</w:t>
      </w:r>
    </w:p>
    <w:p>
      <w:pPr>
        <w:pStyle w:val="ListBullet"/>
        <w:spacing w:after="40"/>
      </w:pPr>
      <w:r>
        <w:rPr>
          <w:sz w:val="21"/>
        </w:rPr>
        <w:t>Si la conversación es larga, capturas consecutivas con solape para que se vea que no falta nada intermedio.</w:t>
      </w:r>
    </w:p>
    <w:p>
      <w:pPr>
        <w:spacing w:before="160" w:after="160"/>
        <w:ind w:left="216"/>
        <w:pBdr>
          <w:left w:val="single" w:sz="18" w:space="8" w:color="1E6B2E"/>
        </w:pBdr>
        <w:shd w:val="clear" w:color="auto" w:fill="F1F8F2"/>
      </w:pPr>
      <w:r>
        <w:rPr>
          <w:b/>
          <w:color w:val="1E6B2E"/>
          <w:sz w:val="20"/>
        </w:rPr>
        <w:t xml:space="preserve">Usar IA está exigido, no prohibido. </w:t>
      </w:r>
      <w:r>
        <w:rPr>
          <w:sz w:val="20"/>
        </w:rPr>
        <w:t>La Etapa 5 exige explícitamente usar herramientas de inteligencia artificial para construir la pregunta. Usarlas no es una falta: es parte del ejercicio. Lo que se penaliza es no documentarlo. Capture generosamente.</w:t>
      </w:r>
    </w:p>
    <w:p>
      <w:pPr>
        <w:spacing w:after="80"/>
      </w:pPr>
      <w:r>
        <w:rPr>
          <w:sz w:val="21"/>
        </w:rPr>
        <w:t>Organización sugerida del documento:</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20"/>
              </w:rPr>
              <w:t>Sección</w:t>
            </w:r>
          </w:p>
        </w:tc>
        <w:tc>
          <w:tcPr>
            <w:tcW w:type="dxa" w:w="4824"/>
          </w:tcPr>
          <w:p>
            <w:r/>
            <w:r>
              <w:rPr>
                <w:b/>
                <w:sz w:val="20"/>
              </w:rPr>
              <w:t>Contenido</w:t>
            </w:r>
          </w:p>
        </w:tc>
      </w:tr>
      <w:tr>
        <w:tc>
          <w:tcPr>
            <w:tcW w:type="dxa" w:w="4824"/>
          </w:tcPr>
          <w:p>
            <w:r/>
            <w:r>
              <w:rPr>
                <w:sz w:val="20"/>
              </w:rPr>
              <w:t>Portada</w:t>
            </w:r>
          </w:p>
        </w:tc>
        <w:tc>
          <w:tcPr>
            <w:tcW w:type="dxa" w:w="4824"/>
          </w:tcPr>
          <w:p>
            <w:r/>
            <w:r>
              <w:rPr>
                <w:sz w:val="20"/>
              </w:rPr>
              <w:t>Nombre completo e ID SIGAA de quien realizó la interacción</w:t>
            </w:r>
          </w:p>
        </w:tc>
      </w:tr>
      <w:tr>
        <w:tc>
          <w:tcPr>
            <w:tcW w:type="dxa" w:w="4824"/>
          </w:tcPr>
          <w:p>
            <w:r/>
            <w:r>
              <w:rPr>
                <w:sz w:val="20"/>
              </w:rPr>
              <w:t>1. Herramienta utilizada</w:t>
            </w:r>
          </w:p>
        </w:tc>
        <w:tc>
          <w:tcPr>
            <w:tcW w:type="dxa" w:w="4824"/>
          </w:tcPr>
          <w:p>
            <w:r/>
            <w:r>
              <w:rPr>
                <w:sz w:val="20"/>
              </w:rPr>
              <w:t>Nombre, versión y fechas de uso</w:t>
            </w:r>
          </w:p>
        </w:tc>
      </w:tr>
      <w:tr>
        <w:tc>
          <w:tcPr>
            <w:tcW w:type="dxa" w:w="4824"/>
          </w:tcPr>
          <w:p>
            <w:r/>
            <w:r>
              <w:rPr>
                <w:sz w:val="20"/>
              </w:rPr>
              <w:t>2. Diseño del modelo</w:t>
            </w:r>
          </w:p>
        </w:tc>
        <w:tc>
          <w:tcPr>
            <w:tcW w:type="dxa" w:w="4824"/>
          </w:tcPr>
          <w:p>
            <w:r/>
            <w:r>
              <w:rPr>
                <w:sz w:val="20"/>
              </w:rPr>
              <w:t>Capturas del análisis del CSV y la normalización a 3NF</w:t>
            </w:r>
          </w:p>
        </w:tc>
      </w:tr>
      <w:tr>
        <w:tc>
          <w:tcPr>
            <w:tcW w:type="dxa" w:w="4824"/>
          </w:tcPr>
          <w:p>
            <w:r/>
            <w:r>
              <w:rPr>
                <w:sz w:val="20"/>
              </w:rPr>
              <w:t>3. Etapas 1 y 2</w:t>
            </w:r>
          </w:p>
        </w:tc>
        <w:tc>
          <w:tcPr>
            <w:tcW w:type="dxa" w:w="4824"/>
          </w:tcPr>
          <w:p>
            <w:r/>
            <w:r>
              <w:rPr>
                <w:sz w:val="20"/>
              </w:rPr>
              <w:t>Capturas sobre infraestructura y conexión</w:t>
            </w:r>
          </w:p>
        </w:tc>
      </w:tr>
      <w:tr>
        <w:tc>
          <w:tcPr>
            <w:tcW w:type="dxa" w:w="4824"/>
          </w:tcPr>
          <w:p>
            <w:r/>
            <w:r>
              <w:rPr>
                <w:sz w:val="20"/>
              </w:rPr>
              <w:t>4. Etapa 4</w:t>
            </w:r>
          </w:p>
        </w:tc>
        <w:tc>
          <w:tcPr>
            <w:tcW w:type="dxa" w:w="4824"/>
          </w:tcPr>
          <w:p>
            <w:r/>
            <w:r>
              <w:rPr>
                <w:sz w:val="20"/>
              </w:rPr>
              <w:t>Capturas de la construcción de las tres consultas</w:t>
            </w:r>
          </w:p>
        </w:tc>
      </w:tr>
      <w:tr>
        <w:tc>
          <w:tcPr>
            <w:tcW w:type="dxa" w:w="4824"/>
          </w:tcPr>
          <w:p>
            <w:r/>
            <w:r>
              <w:rPr>
                <w:sz w:val="20"/>
              </w:rPr>
              <w:t>5. Etapa 5</w:t>
            </w:r>
          </w:p>
        </w:tc>
        <w:tc>
          <w:tcPr>
            <w:tcW w:type="dxa" w:w="4824"/>
          </w:tcPr>
          <w:p>
            <w:r/>
            <w:r>
              <w:rPr>
                <w:sz w:val="20"/>
              </w:rPr>
              <w:t>Capturas del plan del top 10 y de la función con CTE y Window Functions</w:t>
            </w:r>
          </w:p>
        </w:tc>
      </w:tr>
      <w:tr>
        <w:tc>
          <w:tcPr>
            <w:tcW w:type="dxa" w:w="4824"/>
          </w:tcPr>
          <w:p>
            <w:r/>
            <w:r>
              <w:rPr>
                <w:sz w:val="20"/>
              </w:rPr>
              <w:t>6. Verificación</w:t>
            </w:r>
          </w:p>
        </w:tc>
        <w:tc>
          <w:tcPr>
            <w:tcW w:type="dxa" w:w="4824"/>
          </w:tcPr>
          <w:p>
            <w:r/>
            <w:r>
              <w:rPr>
                <w:sz w:val="20"/>
              </w:rPr>
              <w:t>Capturas de las pruebas y correcciones</w:t>
            </w:r>
          </w:p>
        </w:tc>
      </w:tr>
    </w:tbl>
    <w:p>
      <w:r>
        <w:br w:type="page"/>
      </w:r>
    </w:p>
    <w:p>
      <w:pPr>
        <w:pStyle w:val="Heading1"/>
      </w:pPr>
      <w:r>
        <w:rPr>
          <w:color w:val="1F4E79"/>
        </w:rPr>
        <w:t>Parte D — Repositorio y evidencia de participación</w:t>
      </w:r>
    </w:p>
    <w:p>
      <w:r>
        <w:rPr>
          <w:b/>
          <w:color w:val="A51C1C"/>
          <w:sz w:val="22"/>
        </w:rPr>
        <w:t>El estudiante que no figure como contribuyente del repositorio obtiene 0.00.</w:t>
      </w:r>
    </w:p>
    <w:p>
      <w:pPr>
        <w:spacing w:before="240" w:after="80"/>
      </w:pPr>
      <w:r>
        <w:rPr>
          <w:b/>
          <w:color w:val="1F4E79"/>
          <w:sz w:val="23"/>
        </w:rPr>
        <w:t>Paso 1 — Verificar que sus commits cuentan</w:t>
      </w:r>
    </w:p>
    <w:p>
      <w:pPr>
        <w:spacing w:after="80"/>
      </w:pPr>
      <w:r>
        <w:rPr>
          <w:sz w:val="21"/>
        </w:rPr>
        <w:t>Git firma cada commit con el correo configurado localmente. Si ese correo no está verificado en su cuenta de GitHub, el commit aparece con un avatar gris genérico y GitHub no lo cuenta como contribución suya. Es el error que más caro sale.</w:t>
      </w:r>
    </w:p>
    <w:p>
      <w:pPr>
        <w:spacing w:before="120" w:after="120"/>
        <w:ind w:left="432"/>
        <w:shd w:val="clear" w:color="auto" w:fill="F2F2F2"/>
      </w:pPr>
      <w:r>
        <w:rPr>
          <w:rFonts w:ascii="Consolas" w:hAnsi="Consolas" w:eastAsia="Consolas"/>
          <w:sz w:val="19"/>
        </w:rPr>
        <w:t># Ver con qué identidad se están firmando los commits</w:t>
        <w:br/>
        <w:t>git config user.name</w:t>
        <w:br/>
        <w:t>git config user.email</w:t>
        <w:br/>
        <w:br/>
        <w:t># Si el correo no es el de su cuenta de GitHub, corregirlo</w:t>
        <w:br/>
        <w:t>git config --global user.email "elcorreo@desucuenta.com"</w:t>
      </w:r>
    </w:p>
    <w:p>
      <w:pPr>
        <w:pStyle w:val="ListBullet"/>
        <w:spacing w:after="40"/>
      </w:pPr>
      <w:r>
        <w:rPr>
          <w:sz w:val="21"/>
        </w:rPr>
        <w:t>En GitHub: Settings → Emails. El correo debe aparecer verificado.</w:t>
      </w:r>
    </w:p>
    <w:p>
      <w:pPr>
        <w:pStyle w:val="ListBullet"/>
        <w:spacing w:after="40"/>
      </w:pPr>
      <w:r>
        <w:rPr>
          <w:sz w:val="21"/>
        </w:rPr>
        <w:t>Abrir cualquier commit propio en la web: su avatar debe enlazar a su perfil.</w:t>
      </w:r>
    </w:p>
    <w:p>
      <w:pPr>
        <w:spacing w:before="160" w:after="160"/>
        <w:ind w:left="216"/>
        <w:pBdr>
          <w:left w:val="single" w:sz="18" w:space="8" w:color="A51C1C"/>
        </w:pBdr>
        <w:shd w:val="clear" w:color="auto" w:fill="FDF2F2"/>
      </w:pPr>
      <w:r>
        <w:rPr>
          <w:b/>
          <w:color w:val="A51C1C"/>
          <w:sz w:val="20"/>
        </w:rPr>
        <w:t xml:space="preserve">CAPTURA 22  </w:t>
      </w:r>
      <w:r>
        <w:rPr>
          <w:sz w:val="20"/>
        </w:rPr>
        <w:t>Página Settings → Emails de GitHub con el correo verificado.</w:t>
      </w:r>
    </w:p>
    <w:p>
      <w:pPr>
        <w:spacing w:before="160" w:after="160"/>
        <w:ind w:left="216"/>
        <w:pBdr>
          <w:left w:val="single" w:sz="18" w:space="8" w:color="A51C1C"/>
        </w:pBdr>
        <w:shd w:val="clear" w:color="auto" w:fill="FDF2F2"/>
      </w:pPr>
      <w:r>
        <w:rPr>
          <w:b/>
          <w:color w:val="A51C1C"/>
          <w:sz w:val="20"/>
        </w:rPr>
        <w:t xml:space="preserve">CAPTURA 23  </w:t>
      </w:r>
      <w:r>
        <w:rPr>
          <w:sz w:val="20"/>
        </w:rPr>
        <w:t>Historial de commits del repositorio mostrando commits de ambos integrantes con sus avatares enlazados.</w:t>
      </w:r>
    </w:p>
    <w:p>
      <w:pPr>
        <w:spacing w:before="240" w:after="80"/>
      </w:pPr>
      <w:r>
        <w:rPr>
          <w:b/>
          <w:color w:val="1F4E79"/>
          <w:sz w:val="23"/>
        </w:rPr>
        <w:t>Paso 2 — Cada quien sube su propio trabajo</w:t>
      </w:r>
    </w:p>
    <w:p>
      <w:pPr>
        <w:spacing w:after="80"/>
      </w:pPr>
      <w:r>
        <w:rPr>
          <w:sz w:val="21"/>
        </w:rPr>
        <w:t>No suba el trabajo del compañero desde su cuenta para adelantar. La entrega debe evidenciar participación razonablemente equitativa, y el historial de commits es la prueba. Commits alternados a lo largo de los días se ven mejor que un único commit gigante el último día.</w:t>
      </w:r>
    </w:p>
    <w:p>
      <w:pPr>
        <w:spacing w:before="120" w:after="120"/>
        <w:ind w:left="432"/>
        <w:shd w:val="clear" w:color="auto" w:fill="F2F2F2"/>
      </w:pPr>
      <w:r>
        <w:rPr>
          <w:rFonts w:ascii="Consolas" w:hAnsi="Consolas" w:eastAsia="Consolas"/>
          <w:sz w:val="19"/>
        </w:rPr>
        <w:t>git add &lt;archivos&gt;</w:t>
        <w:br/>
        <w:t>git commit -m "descripción concreta de lo que se hizo"</w:t>
        <w:br/>
        <w:t>git push origin main</w:t>
      </w:r>
    </w:p>
    <w:p>
      <w:pPr>
        <w:spacing w:before="240" w:after="80"/>
      </w:pPr>
      <w:r>
        <w:rPr>
          <w:b/>
          <w:color w:val="1F4E79"/>
          <w:sz w:val="23"/>
        </w:rPr>
        <w:t>Paso 3 — Publicar en el repositorio privado calificable</w:t>
      </w:r>
    </w:p>
    <w:p>
      <w:pPr>
        <w:spacing w:after="80"/>
      </w:pPr>
      <w:r>
        <w:rPr>
          <w:sz w:val="21"/>
        </w:rPr>
        <w:t>El repositorio que se califica se llama tadb202620_examen_01, es privado y tiene al docente jdrodas como colaborador. Si el trabajo se desarrolló en otro repositorio, no copie los archivos: eso destruye el historial, que es justamente la evidencia de participación. Añada el repositorio privado como segundo remoto y empuje la historia completa.</w:t>
      </w:r>
    </w:p>
    <w:p>
      <w:pPr>
        <w:spacing w:before="120" w:after="120"/>
        <w:ind w:left="432"/>
        <w:shd w:val="clear" w:color="auto" w:fill="F2F2F2"/>
      </w:pPr>
      <w:r>
        <w:rPr>
          <w:rFonts w:ascii="Consolas" w:hAnsi="Consolas" w:eastAsia="Consolas"/>
          <w:sz w:val="19"/>
        </w:rPr>
        <w:t># Añadir el repositorio calificable como segundo remoto</w:t>
        <w:br/>
        <w:t>git remote add privado https://github.com/AndresFMV22/tadb202620_examen_01.git</w:t>
        <w:br/>
        <w:br/>
        <w:t># Empujar todo el historial, commit por commit</w:t>
        <w:br/>
        <w:t>git push privado main</w:t>
        <w:br/>
        <w:br/>
        <w:t># Comprobar que quedaron los dos remotos</w:t>
        <w:br/>
        <w:t>git remote -v</w:t>
      </w:r>
    </w:p>
    <w:p>
      <w:pPr>
        <w:spacing w:before="160" w:after="160"/>
        <w:ind w:left="216"/>
        <w:pBdr>
          <w:left w:val="single" w:sz="18" w:space="8" w:color="A51C1C"/>
        </w:pBdr>
        <w:shd w:val="clear" w:color="auto" w:fill="FDF2F2"/>
      </w:pPr>
      <w:r>
        <w:rPr>
          <w:b/>
          <w:color w:val="A51C1C"/>
          <w:sz w:val="20"/>
        </w:rPr>
        <w:t xml:space="preserve">CAPTURA 24  </w:t>
      </w:r>
      <w:r>
        <w:rPr>
          <w:sz w:val="20"/>
        </w:rPr>
        <w:t>Salida de git remote -v y del push al repositorio privado.</w:t>
      </w:r>
    </w:p>
    <w:p>
      <w:pPr>
        <w:spacing w:before="240" w:after="80"/>
      </w:pPr>
      <w:r>
        <w:rPr>
          <w:b/>
          <w:color w:val="1F4E79"/>
          <w:sz w:val="23"/>
        </w:rPr>
        <w:t>Paso 4 — Notificar al docente</w:t>
      </w:r>
    </w:p>
    <w:p>
      <w:pPr>
        <w:spacing w:after="80"/>
      </w:pPr>
      <w:r>
        <w:rPr>
          <w:sz w:val="21"/>
        </w:rPr>
        <w:t>Terminada la entrega, enviar correo a juand.rodasm@upb.edu.co informando que finalizó. Ambos estudiantes deben aparecer en el mensaje. Ese correo es la evidencia de entrega oportuna: sin él, no hay constancia de haber cumplido el plazo.</w:t>
      </w:r>
    </w:p>
    <w:p>
      <w:r>
        <w:br w:type="page"/>
      </w:r>
    </w:p>
    <w:p>
      <w:pPr>
        <w:pStyle w:val="Heading1"/>
      </w:pPr>
      <w:r>
        <w:rPr>
          <w:color w:val="1F4E79"/>
        </w:rPr>
        <w:t>Lista de verificación final</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20"/>
              </w:rPr>
              <w:t>Entregable</w:t>
            </w:r>
          </w:p>
        </w:tc>
        <w:tc>
          <w:tcPr>
            <w:tcW w:type="dxa" w:w="3216"/>
          </w:tcPr>
          <w:p>
            <w:r/>
            <w:r>
              <w:rPr>
                <w:b/>
                <w:sz w:val="20"/>
              </w:rPr>
              <w:t>Responsable</w:t>
            </w:r>
          </w:p>
        </w:tc>
        <w:tc>
          <w:tcPr>
            <w:tcW w:type="dxa" w:w="3216"/>
          </w:tcPr>
          <w:p>
            <w:r/>
            <w:r>
              <w:rPr>
                <w:b/>
                <w:sz w:val="20"/>
              </w:rPr>
              <w:t>Estado</w:t>
            </w:r>
          </w:p>
        </w:tc>
      </w:tr>
      <w:tr>
        <w:tc>
          <w:tcPr>
            <w:tcW w:type="dxa" w:w="3216"/>
          </w:tcPr>
          <w:p>
            <w:r/>
            <w:r>
              <w:rPr>
                <w:sz w:val="20"/>
              </w:rPr>
              <w:t>PDF de infraestructura y conexión — PostgreSQL/Azure</w:t>
            </w:r>
          </w:p>
        </w:tc>
        <w:tc>
          <w:tcPr>
            <w:tcW w:type="dxa" w:w="3216"/>
          </w:tcPr>
          <w:p>
            <w:r/>
            <w:r>
              <w:rPr>
                <w:sz w:val="20"/>
              </w:rPr>
              <w:t>Andrés</w:t>
            </w:r>
          </w:p>
        </w:tc>
        <w:tc>
          <w:tcPr>
            <w:tcW w:type="dxa" w:w="3216"/>
          </w:tcPr>
          <w:p>
            <w:r/>
            <w:r>
              <w:rPr>
                <w:sz w:val="20"/>
              </w:rPr>
            </w:r>
          </w:p>
        </w:tc>
      </w:tr>
      <w:tr>
        <w:tc>
          <w:tcPr>
            <w:tcW w:type="dxa" w:w="3216"/>
          </w:tcPr>
          <w:p>
            <w:r/>
            <w:r>
              <w:rPr>
                <w:sz w:val="20"/>
              </w:rPr>
              <w:t>PDF de infraestructura y conexión — SQL Server/Docker</w:t>
            </w:r>
          </w:p>
        </w:tc>
        <w:tc>
          <w:tcPr>
            <w:tcW w:type="dxa" w:w="3216"/>
          </w:tcPr>
          <w:p>
            <w:r/>
            <w:r>
              <w:rPr>
                <w:sz w:val="20"/>
              </w:rPr>
              <w:t>José Miguel</w:t>
            </w:r>
          </w:p>
        </w:tc>
        <w:tc>
          <w:tcPr>
            <w:tcW w:type="dxa" w:w="3216"/>
          </w:tcPr>
          <w:p>
            <w:r/>
            <w:r>
              <w:rPr>
                <w:sz w:val="20"/>
              </w:rPr>
            </w:r>
          </w:p>
        </w:tc>
      </w:tr>
      <w:tr>
        <w:tc>
          <w:tcPr>
            <w:tcW w:type="dxa" w:w="3216"/>
          </w:tcPr>
          <w:p>
            <w:r/>
            <w:r>
              <w:rPr>
                <w:sz w:val="20"/>
              </w:rPr>
              <w:t>PDF de capturas de la interacción con IA</w:t>
            </w:r>
          </w:p>
        </w:tc>
        <w:tc>
          <w:tcPr>
            <w:tcW w:type="dxa" w:w="3216"/>
          </w:tcPr>
          <w:p>
            <w:r/>
            <w:r>
              <w:rPr>
                <w:sz w:val="20"/>
              </w:rPr>
              <w:t>Ambos</w:t>
            </w:r>
          </w:p>
        </w:tc>
        <w:tc>
          <w:tcPr>
            <w:tcW w:type="dxa" w:w="3216"/>
          </w:tcPr>
          <w:p>
            <w:r/>
            <w:r>
              <w:rPr>
                <w:sz w:val="20"/>
              </w:rPr>
            </w:r>
          </w:p>
        </w:tc>
      </w:tr>
      <w:tr>
        <w:tc>
          <w:tcPr>
            <w:tcW w:type="dxa" w:w="3216"/>
          </w:tcPr>
          <w:p>
            <w:r/>
            <w:r>
              <w:rPr>
                <w:sz w:val="20"/>
              </w:rPr>
              <w:t>Diagrama relacional en PNG con fondo blanco</w:t>
            </w:r>
          </w:p>
        </w:tc>
        <w:tc>
          <w:tcPr>
            <w:tcW w:type="dxa" w:w="3216"/>
          </w:tcPr>
          <w:p>
            <w:r/>
            <w:r>
              <w:rPr>
                <w:sz w:val="20"/>
              </w:rPr>
              <w:t>Común a los dos</w:t>
            </w:r>
          </w:p>
        </w:tc>
        <w:tc>
          <w:tcPr>
            <w:tcW w:type="dxa" w:w="3216"/>
          </w:tcPr>
          <w:p>
            <w:r/>
            <w:r>
              <w:rPr>
                <w:sz w:val="20"/>
              </w:rPr>
            </w:r>
          </w:p>
        </w:tc>
      </w:tr>
      <w:tr>
        <w:tc>
          <w:tcPr>
            <w:tcW w:type="dxa" w:w="3216"/>
          </w:tcPr>
          <w:p>
            <w:r/>
            <w:r>
              <w:rPr>
                <w:sz w:val="20"/>
              </w:rPr>
              <w:t>Script del modelo de datos (.sql, UTF-8) — PostgreSQL</w:t>
            </w:r>
          </w:p>
        </w:tc>
        <w:tc>
          <w:tcPr>
            <w:tcW w:type="dxa" w:w="3216"/>
          </w:tcPr>
          <w:p>
            <w:r/>
            <w:r>
              <w:rPr>
                <w:sz w:val="20"/>
              </w:rPr>
              <w:t>Andrés</w:t>
            </w:r>
          </w:p>
        </w:tc>
        <w:tc>
          <w:tcPr>
            <w:tcW w:type="dxa" w:w="3216"/>
          </w:tcPr>
          <w:p>
            <w:r/>
            <w:r>
              <w:rPr>
                <w:sz w:val="20"/>
              </w:rPr>
            </w:r>
          </w:p>
        </w:tc>
      </w:tr>
      <w:tr>
        <w:tc>
          <w:tcPr>
            <w:tcW w:type="dxa" w:w="3216"/>
          </w:tcPr>
          <w:p>
            <w:r/>
            <w:r>
              <w:rPr>
                <w:sz w:val="20"/>
              </w:rPr>
              <w:t>Script del modelo de datos (.sql, UTF-8) — SQL Server</w:t>
            </w:r>
          </w:p>
        </w:tc>
        <w:tc>
          <w:tcPr>
            <w:tcW w:type="dxa" w:w="3216"/>
          </w:tcPr>
          <w:p>
            <w:r/>
            <w:r>
              <w:rPr>
                <w:sz w:val="20"/>
              </w:rPr>
              <w:t>José Miguel</w:t>
            </w:r>
          </w:p>
        </w:tc>
        <w:tc>
          <w:tcPr>
            <w:tcW w:type="dxa" w:w="3216"/>
          </w:tcPr>
          <w:p>
            <w:r/>
            <w:r>
              <w:rPr>
                <w:sz w:val="20"/>
              </w:rPr>
            </w:r>
          </w:p>
        </w:tc>
      </w:tr>
      <w:tr>
        <w:tc>
          <w:tcPr>
            <w:tcW w:type="dxa" w:w="3216"/>
          </w:tcPr>
          <w:p>
            <w:r/>
            <w:r>
              <w:rPr>
                <w:sz w:val="20"/>
              </w:rPr>
              <w:t>Script de consultas de las Etapas 4 y 5 — PostgreSQL</w:t>
            </w:r>
          </w:p>
        </w:tc>
        <w:tc>
          <w:tcPr>
            <w:tcW w:type="dxa" w:w="3216"/>
          </w:tcPr>
          <w:p>
            <w:r/>
            <w:r>
              <w:rPr>
                <w:sz w:val="20"/>
              </w:rPr>
              <w:t>Andrés</w:t>
            </w:r>
          </w:p>
        </w:tc>
        <w:tc>
          <w:tcPr>
            <w:tcW w:type="dxa" w:w="3216"/>
          </w:tcPr>
          <w:p>
            <w:r/>
            <w:r>
              <w:rPr>
                <w:sz w:val="20"/>
              </w:rPr>
            </w:r>
          </w:p>
        </w:tc>
      </w:tr>
      <w:tr>
        <w:tc>
          <w:tcPr>
            <w:tcW w:type="dxa" w:w="3216"/>
          </w:tcPr>
          <w:p>
            <w:r/>
            <w:r>
              <w:rPr>
                <w:sz w:val="20"/>
              </w:rPr>
              <w:t>Script de consultas de las Etapas 4 y 5 — SQL Server</w:t>
            </w:r>
          </w:p>
        </w:tc>
        <w:tc>
          <w:tcPr>
            <w:tcW w:type="dxa" w:w="3216"/>
          </w:tcPr>
          <w:p>
            <w:r/>
            <w:r>
              <w:rPr>
                <w:sz w:val="20"/>
              </w:rPr>
              <w:t>José Miguel</w:t>
            </w:r>
          </w:p>
        </w:tc>
        <w:tc>
          <w:tcPr>
            <w:tcW w:type="dxa" w:w="3216"/>
          </w:tcPr>
          <w:p>
            <w:r/>
            <w:r>
              <w:rPr>
                <w:sz w:val="20"/>
              </w:rPr>
            </w:r>
          </w:p>
        </w:tc>
      </w:tr>
      <w:tr>
        <w:tc>
          <w:tcPr>
            <w:tcW w:type="dxa" w:w="3216"/>
          </w:tcPr>
          <w:p>
            <w:r/>
            <w:r>
              <w:rPr>
                <w:sz w:val="20"/>
              </w:rPr>
              <w:t>Archivos de salida de las consultas</w:t>
            </w:r>
          </w:p>
        </w:tc>
        <w:tc>
          <w:tcPr>
            <w:tcW w:type="dxa" w:w="3216"/>
          </w:tcPr>
          <w:p>
            <w:r/>
            <w:r>
              <w:rPr>
                <w:sz w:val="20"/>
              </w:rPr>
              <w:t>Ambos</w:t>
            </w:r>
          </w:p>
        </w:tc>
        <w:tc>
          <w:tcPr>
            <w:tcW w:type="dxa" w:w="3216"/>
          </w:tcPr>
          <w:p>
            <w:r/>
            <w:r>
              <w:rPr>
                <w:sz w:val="20"/>
              </w:rPr>
            </w:r>
          </w:p>
        </w:tc>
      </w:tr>
      <w:tr>
        <w:tc>
          <w:tcPr>
            <w:tcW w:type="dxa" w:w="3216"/>
          </w:tcPr>
          <w:p>
            <w:r/>
            <w:r>
              <w:rPr>
                <w:sz w:val="20"/>
              </w:rPr>
              <w:t>Archivo .gitignore</w:t>
            </w:r>
          </w:p>
        </w:tc>
        <w:tc>
          <w:tcPr>
            <w:tcW w:type="dxa" w:w="3216"/>
          </w:tcPr>
          <w:p>
            <w:r/>
            <w:r>
              <w:rPr>
                <w:sz w:val="20"/>
              </w:rPr>
              <w:t>Común</w:t>
            </w:r>
          </w:p>
        </w:tc>
        <w:tc>
          <w:tcPr>
            <w:tcW w:type="dxa" w:w="3216"/>
          </w:tcPr>
          <w:p>
            <w:r/>
            <w:r>
              <w:rPr>
                <w:sz w:val="20"/>
              </w:rPr>
            </w:r>
          </w:p>
        </w:tc>
      </w:tr>
      <w:tr>
        <w:tc>
          <w:tcPr>
            <w:tcW w:type="dxa" w:w="3216"/>
          </w:tcPr>
          <w:p>
            <w:r/>
            <w:r>
              <w:rPr>
                <w:sz w:val="20"/>
              </w:rPr>
              <w:t>README.md con identificación de los estudiantes</w:t>
            </w:r>
          </w:p>
        </w:tc>
        <w:tc>
          <w:tcPr>
            <w:tcW w:type="dxa" w:w="3216"/>
          </w:tcPr>
          <w:p>
            <w:r/>
            <w:r>
              <w:rPr>
                <w:sz w:val="20"/>
              </w:rPr>
              <w:t>Común</w:t>
            </w:r>
          </w:p>
        </w:tc>
        <w:tc>
          <w:tcPr>
            <w:tcW w:type="dxa" w:w="3216"/>
          </w:tcPr>
          <w:p>
            <w:r/>
            <w:r>
              <w:rPr>
                <w:sz w:val="20"/>
              </w:rPr>
            </w:r>
          </w:p>
        </w:tc>
      </w:tr>
      <w:tr>
        <w:tc>
          <w:tcPr>
            <w:tcW w:type="dxa" w:w="3216"/>
          </w:tcPr>
          <w:p>
            <w:r/>
            <w:r>
              <w:rPr>
                <w:sz w:val="20"/>
              </w:rPr>
              <w:t>Correo de notificación al docente</w:t>
            </w:r>
          </w:p>
        </w:tc>
        <w:tc>
          <w:tcPr>
            <w:tcW w:type="dxa" w:w="3216"/>
          </w:tcPr>
          <w:p>
            <w:r/>
            <w:r>
              <w:rPr>
                <w:sz w:val="20"/>
              </w:rPr>
              <w:t>Ambos</w:t>
            </w:r>
          </w:p>
        </w:tc>
        <w:tc>
          <w:tcPr>
            <w:tcW w:type="dxa" w:w="3216"/>
          </w:tcPr>
          <w:p>
            <w:r/>
            <w:r>
              <w:rPr>
                <w:sz w:val="20"/>
              </w:rPr>
            </w:r>
          </w:p>
        </w:tc>
      </w:tr>
    </w:tbl>
    <w:p/>
    <w:p>
      <w:pPr>
        <w:spacing w:before="160" w:after="160"/>
        <w:ind w:left="216"/>
        <w:pBdr>
          <w:left w:val="single" w:sz="18" w:space="8" w:color="1E6B2E"/>
        </w:pBdr>
        <w:shd w:val="clear" w:color="auto" w:fill="F1F8F2"/>
      </w:pPr>
      <w:r>
        <w:rPr>
          <w:b/>
          <w:color w:val="1E6B2E"/>
          <w:sz w:val="20"/>
        </w:rPr>
        <w:t xml:space="preserve">Recordatorio. </w:t>
      </w:r>
      <w:r>
        <w:rPr>
          <w:sz w:val="20"/>
        </w:rPr>
        <w:t>Todos los entregables deben ir marcados con nombre completo e ID SIGAA de quien los elaboró, y los IDs se escriben con nueve dígitos y ceros a la izquierda: 000549446 y 000210186. La fecha límite es el miércoles 25 de agosto de 2026 a las 10:00 pm (GMT-5) y no se otorgan plazos adicionales.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