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094" w:rsidRPr="00D775A2" w:rsidRDefault="00191094">
      <w:pPr>
        <w:pStyle w:val="Normal1"/>
        <w:rPr>
          <w:b/>
          <w:sz w:val="24"/>
          <w:szCs w:val="24"/>
          <w:lang w:val="es-CO"/>
        </w:rPr>
      </w:pPr>
    </w:p>
    <w:p w:rsidR="00191094" w:rsidRPr="00D775A2" w:rsidRDefault="001D17D6">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Andrés Gualdró</w:t>
      </w:r>
      <w:r w:rsidR="00CC6115" w:rsidRPr="00D775A2">
        <w:rPr>
          <w:rFonts w:ascii="Calibri" w:eastAsia="Calibri" w:hAnsi="Calibri" w:cs="Calibri"/>
          <w:b/>
          <w:sz w:val="28"/>
          <w:szCs w:val="28"/>
          <w:lang w:val="es-CO"/>
        </w:rPr>
        <w:t>n</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Daniel Alfonso</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 xml:space="preserve">Fernando Barrera </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Diego Chinchilla</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Yeis</w:t>
      </w:r>
      <w:r w:rsidR="00253F62">
        <w:rPr>
          <w:rFonts w:ascii="Calibri" w:eastAsia="Calibri" w:hAnsi="Calibri" w:cs="Calibri"/>
          <w:b/>
          <w:sz w:val="28"/>
          <w:szCs w:val="28"/>
          <w:lang w:val="es-CO"/>
        </w:rPr>
        <w:t>s</w:t>
      </w:r>
      <w:r w:rsidRPr="00D775A2">
        <w:rPr>
          <w:rFonts w:ascii="Calibri" w:eastAsia="Calibri" w:hAnsi="Calibri" w:cs="Calibri"/>
          <w:b/>
          <w:sz w:val="28"/>
          <w:szCs w:val="28"/>
          <w:lang w:val="es-CO"/>
        </w:rPr>
        <w:t>on Gualdrón</w:t>
      </w:r>
    </w:p>
    <w:p w:rsidR="00191094" w:rsidRPr="00D775A2" w:rsidRDefault="00191094">
      <w:pPr>
        <w:pStyle w:val="Normal1"/>
        <w:spacing w:after="160" w:line="240" w:lineRule="auto"/>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CC6115">
      <w:pPr>
        <w:pStyle w:val="Normal1"/>
        <w:jc w:val="center"/>
        <w:rPr>
          <w:rFonts w:ascii="Calibri" w:eastAsia="Calibri" w:hAnsi="Calibri" w:cs="Calibri"/>
          <w:b/>
          <w:sz w:val="28"/>
          <w:szCs w:val="28"/>
          <w:lang w:val="es-CO"/>
        </w:rPr>
      </w:pPr>
      <w:r w:rsidRPr="00D775A2">
        <w:rPr>
          <w:rFonts w:ascii="Calibri" w:eastAsia="Calibri" w:hAnsi="Calibri" w:cs="Calibri"/>
          <w:b/>
          <w:sz w:val="28"/>
          <w:szCs w:val="28"/>
          <w:lang w:val="es-CO"/>
        </w:rPr>
        <w:t xml:space="preserve">Informe </w:t>
      </w:r>
      <w:r w:rsidR="001D17D6" w:rsidRPr="00D775A2">
        <w:rPr>
          <w:rFonts w:ascii="Calibri" w:eastAsia="Calibri" w:hAnsi="Calibri" w:cs="Calibri"/>
          <w:b/>
          <w:sz w:val="28"/>
          <w:szCs w:val="28"/>
          <w:lang w:val="es-CO"/>
        </w:rPr>
        <w:t>proceso de</w:t>
      </w:r>
      <w:r w:rsidRPr="00D775A2">
        <w:rPr>
          <w:rFonts w:ascii="Calibri" w:eastAsia="Calibri" w:hAnsi="Calibri" w:cs="Calibri"/>
          <w:b/>
          <w:sz w:val="28"/>
          <w:szCs w:val="28"/>
          <w:lang w:val="es-CO"/>
        </w:rPr>
        <w:t xml:space="preserve"> </w:t>
      </w:r>
      <w:r w:rsidR="001D17D6" w:rsidRPr="00D775A2">
        <w:rPr>
          <w:rFonts w:ascii="Calibri" w:eastAsia="Calibri" w:hAnsi="Calibri" w:cs="Calibri"/>
          <w:b/>
          <w:sz w:val="28"/>
          <w:szCs w:val="28"/>
          <w:lang w:val="es-CO"/>
        </w:rPr>
        <w:t xml:space="preserve">manejo de </w:t>
      </w:r>
      <w:r w:rsidR="00A23DDE" w:rsidRPr="00D775A2">
        <w:rPr>
          <w:rFonts w:ascii="Calibri" w:eastAsia="Calibri" w:hAnsi="Calibri" w:cs="Calibri"/>
          <w:b/>
          <w:sz w:val="28"/>
          <w:szCs w:val="28"/>
          <w:lang w:val="es-CO"/>
        </w:rPr>
        <w:t>pólizas</w:t>
      </w:r>
      <w:r w:rsidRPr="00D775A2">
        <w:rPr>
          <w:rFonts w:ascii="Calibri" w:eastAsia="Calibri" w:hAnsi="Calibri" w:cs="Calibri"/>
          <w:b/>
          <w:sz w:val="28"/>
          <w:szCs w:val="28"/>
          <w:lang w:val="es-CO"/>
        </w:rPr>
        <w:t xml:space="preserve"> (INVIAS) </w:t>
      </w: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noProof/>
          <w:sz w:val="28"/>
          <w:szCs w:val="28"/>
          <w:lang w:eastAsia="en-US"/>
        </w:rPr>
        <w:drawing>
          <wp:inline distT="114300" distB="114300" distL="114300" distR="114300">
            <wp:extent cx="2486025" cy="2590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86025" cy="2590800"/>
                    </a:xfrm>
                    <a:prstGeom prst="rect">
                      <a:avLst/>
                    </a:prstGeom>
                    <a:ln/>
                  </pic:spPr>
                </pic:pic>
              </a:graphicData>
            </a:graphic>
          </wp:inline>
        </w:drawing>
      </w: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AUPN</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2020-1</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22/02/2020</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Escuela Colombiana de Ingeniería Julio Garavito</w:t>
      </w:r>
    </w:p>
    <w:p w:rsidR="00191094" w:rsidRPr="00D775A2" w:rsidRDefault="00191094">
      <w:pPr>
        <w:pStyle w:val="Normal1"/>
        <w:rPr>
          <w:b/>
          <w:sz w:val="24"/>
          <w:szCs w:val="24"/>
          <w:lang w:val="es-CO"/>
        </w:rPr>
      </w:pPr>
    </w:p>
    <w:p w:rsidR="00191094" w:rsidRPr="00D775A2" w:rsidRDefault="00191094">
      <w:pPr>
        <w:pStyle w:val="Normal1"/>
        <w:rPr>
          <w:b/>
          <w:sz w:val="36"/>
          <w:szCs w:val="24"/>
          <w:lang w:val="es-CO"/>
        </w:rPr>
      </w:pPr>
    </w:p>
    <w:p w:rsidR="00191094" w:rsidRPr="00D775A2" w:rsidRDefault="001D17D6">
      <w:pPr>
        <w:pStyle w:val="Normal1"/>
        <w:rPr>
          <w:b/>
          <w:sz w:val="36"/>
          <w:szCs w:val="24"/>
          <w:lang w:val="es-CO"/>
        </w:rPr>
      </w:pPr>
      <w:r w:rsidRPr="00D775A2">
        <w:rPr>
          <w:b/>
          <w:sz w:val="36"/>
          <w:szCs w:val="24"/>
          <w:lang w:val="es-CO"/>
        </w:rPr>
        <w:t>Tabla de contenido</w:t>
      </w:r>
    </w:p>
    <w:sdt>
      <w:sdtPr>
        <w:rPr>
          <w:rFonts w:ascii="Arial" w:eastAsia="Arial" w:hAnsi="Arial" w:cs="Arial"/>
          <w:color w:val="auto"/>
          <w:sz w:val="22"/>
          <w:szCs w:val="22"/>
          <w:lang w:val="es-CO" w:eastAsia="es-CO"/>
        </w:rPr>
        <w:id w:val="-3286380"/>
        <w:docPartObj>
          <w:docPartGallery w:val="Table of Contents"/>
          <w:docPartUnique/>
        </w:docPartObj>
      </w:sdtPr>
      <w:sdtEndPr/>
      <w:sdtContent>
        <w:p w:rsidR="00D775A2" w:rsidRPr="008D0B01" w:rsidRDefault="00D775A2" w:rsidP="00145896">
          <w:pPr>
            <w:pStyle w:val="TtuloTDC"/>
            <w:rPr>
              <w:color w:val="auto"/>
              <w:lang w:val="es-CO"/>
            </w:rPr>
          </w:pPr>
          <w:r w:rsidRPr="008D0B01">
            <w:rPr>
              <w:color w:val="auto"/>
              <w:lang w:val="es-CO"/>
            </w:rPr>
            <w:t>Introducción</w:t>
          </w:r>
          <w:r w:rsidRPr="008D0B01">
            <w:rPr>
              <w:color w:val="auto"/>
              <w:lang w:val="es-CO"/>
            </w:rPr>
            <w:ptab w:relativeTo="margin" w:alignment="right" w:leader="dot"/>
          </w:r>
          <w:r w:rsidRPr="008D0B01">
            <w:rPr>
              <w:color w:val="auto"/>
              <w:lang w:val="es-CO"/>
            </w:rPr>
            <w:t>3</w:t>
          </w:r>
        </w:p>
        <w:p w:rsidR="00D775A2" w:rsidRPr="008D0B01" w:rsidRDefault="00D775A2" w:rsidP="00145896">
          <w:pPr>
            <w:pStyle w:val="TtuloTDC"/>
            <w:rPr>
              <w:color w:val="auto"/>
              <w:lang w:val="es-CO"/>
            </w:rPr>
          </w:pPr>
          <w:r w:rsidRPr="008D0B01">
            <w:rPr>
              <w:color w:val="auto"/>
              <w:lang w:val="es-CO"/>
            </w:rPr>
            <w:t>Contexto de la empresa</w:t>
          </w:r>
          <w:r w:rsidRPr="008D0B01">
            <w:rPr>
              <w:color w:val="auto"/>
              <w:lang w:val="es-CO"/>
            </w:rPr>
            <w:ptab w:relativeTo="margin" w:alignment="right" w:leader="dot"/>
          </w:r>
          <w:r w:rsidRPr="008D0B01">
            <w:rPr>
              <w:color w:val="auto"/>
              <w:lang w:val="es-CO"/>
            </w:rPr>
            <w:t>3</w:t>
          </w:r>
        </w:p>
        <w:p w:rsidR="00D775A2" w:rsidRPr="008D0B01" w:rsidRDefault="00D775A2" w:rsidP="00145896">
          <w:pPr>
            <w:pStyle w:val="TtuloTDC"/>
            <w:rPr>
              <w:color w:val="auto"/>
              <w:lang w:val="es-CO"/>
            </w:rPr>
          </w:pPr>
          <w:r w:rsidRPr="008D0B01">
            <w:rPr>
              <w:color w:val="auto"/>
              <w:lang w:val="es-CO"/>
            </w:rPr>
            <w:t xml:space="preserve">Detalles de la empresa </w:t>
          </w:r>
          <w:r w:rsidRPr="008D0B01">
            <w:rPr>
              <w:color w:val="auto"/>
              <w:lang w:val="es-CO"/>
            </w:rPr>
            <w:ptab w:relativeTo="margin" w:alignment="right" w:leader="dot"/>
          </w:r>
          <w:r w:rsidRPr="008D0B01">
            <w:rPr>
              <w:color w:val="auto"/>
              <w:lang w:val="es-CO"/>
            </w:rPr>
            <w:t>3</w:t>
          </w:r>
        </w:p>
        <w:p w:rsidR="00D775A2" w:rsidRPr="008D0B01" w:rsidRDefault="00D775A2" w:rsidP="00145896">
          <w:pPr>
            <w:pStyle w:val="TtuloTDC"/>
            <w:rPr>
              <w:color w:val="auto"/>
              <w:lang w:val="es-CO"/>
            </w:rPr>
          </w:pPr>
          <w:r w:rsidRPr="008D0B01">
            <w:rPr>
              <w:color w:val="auto"/>
              <w:lang w:val="es-CO"/>
            </w:rPr>
            <w:t xml:space="preserve">    Misión </w:t>
          </w:r>
          <w:r w:rsidRPr="008D0B01">
            <w:rPr>
              <w:color w:val="auto"/>
              <w:lang w:val="es-CO"/>
            </w:rPr>
            <w:ptab w:relativeTo="margin" w:alignment="right" w:leader="dot"/>
          </w:r>
          <w:r w:rsidR="00145896" w:rsidRPr="008D0B01">
            <w:rPr>
              <w:color w:val="auto"/>
              <w:lang w:val="es-CO"/>
            </w:rPr>
            <w:t>3</w:t>
          </w:r>
        </w:p>
        <w:p w:rsidR="00D775A2" w:rsidRPr="008D0B01" w:rsidRDefault="00D775A2" w:rsidP="00145896">
          <w:pPr>
            <w:pStyle w:val="TtuloTDC"/>
            <w:rPr>
              <w:color w:val="auto"/>
              <w:lang w:val="es-CO"/>
            </w:rPr>
          </w:pPr>
          <w:r w:rsidRPr="008D0B01">
            <w:rPr>
              <w:color w:val="auto"/>
              <w:lang w:val="es-CO"/>
            </w:rPr>
            <w:t xml:space="preserve">    Visión </w:t>
          </w:r>
          <w:r w:rsidRPr="008D0B01">
            <w:rPr>
              <w:color w:val="auto"/>
              <w:lang w:val="es-CO"/>
            </w:rPr>
            <w:ptab w:relativeTo="margin" w:alignment="right" w:leader="dot"/>
          </w:r>
          <w:r w:rsidRPr="008D0B01">
            <w:rPr>
              <w:color w:val="auto"/>
              <w:lang w:val="es-CO"/>
            </w:rPr>
            <w:t>4</w:t>
          </w:r>
        </w:p>
        <w:p w:rsidR="00D775A2" w:rsidRPr="008D0B01" w:rsidRDefault="00D775A2" w:rsidP="00145896">
          <w:pPr>
            <w:pStyle w:val="TtuloTDC"/>
            <w:rPr>
              <w:color w:val="auto"/>
              <w:lang w:val="es-CO"/>
            </w:rPr>
          </w:pPr>
          <w:r w:rsidRPr="008D0B01">
            <w:rPr>
              <w:color w:val="auto"/>
              <w:lang w:val="es-CO"/>
            </w:rPr>
            <w:t>Información del proceso</w:t>
          </w:r>
          <w:r w:rsidRPr="008D0B01">
            <w:rPr>
              <w:color w:val="auto"/>
              <w:lang w:val="es-CO"/>
            </w:rPr>
            <w:ptab w:relativeTo="margin" w:alignment="right" w:leader="dot"/>
          </w:r>
          <w:r w:rsidRPr="008D0B01">
            <w:rPr>
              <w:color w:val="auto"/>
              <w:lang w:val="es-CO"/>
            </w:rPr>
            <w:t>4</w:t>
          </w:r>
        </w:p>
        <w:p w:rsidR="00145896" w:rsidRPr="008D0B01" w:rsidRDefault="00145896" w:rsidP="00145896">
          <w:pPr>
            <w:pStyle w:val="TtuloTDC"/>
            <w:rPr>
              <w:color w:val="auto"/>
              <w:lang w:val="es-CO" w:eastAsia="es-CO"/>
            </w:rPr>
          </w:pPr>
          <w:r w:rsidRPr="008D0B01">
            <w:rPr>
              <w:color w:val="auto"/>
              <w:lang w:val="es-CO"/>
            </w:rPr>
            <w:t xml:space="preserve">Catálogo del Macro Proceso </w:t>
          </w:r>
          <w:r w:rsidRPr="008D0B01">
            <w:rPr>
              <w:color w:val="auto"/>
              <w:lang w:val="es-CO"/>
            </w:rPr>
            <w:ptab w:relativeTo="margin" w:alignment="right" w:leader="dot"/>
          </w:r>
          <w:r w:rsidRPr="008D0B01">
            <w:rPr>
              <w:color w:val="auto"/>
              <w:lang w:val="es-CO"/>
            </w:rPr>
            <w:t>4</w:t>
          </w:r>
        </w:p>
        <w:p w:rsidR="00D775A2" w:rsidRPr="008D0B01" w:rsidRDefault="00D775A2" w:rsidP="00145896">
          <w:pPr>
            <w:pStyle w:val="TtuloTDC"/>
            <w:rPr>
              <w:color w:val="auto"/>
              <w:lang w:val="es-CO"/>
            </w:rPr>
          </w:pPr>
          <w:r w:rsidRPr="008D0B01">
            <w:rPr>
              <w:color w:val="auto"/>
              <w:lang w:val="es-CO"/>
            </w:rPr>
            <w:t xml:space="preserve">Eventos del proceso </w:t>
          </w:r>
          <w:r w:rsidRPr="008D0B01">
            <w:rPr>
              <w:color w:val="auto"/>
              <w:lang w:val="es-CO"/>
            </w:rPr>
            <w:ptab w:relativeTo="margin" w:alignment="right" w:leader="dot"/>
          </w:r>
          <w:r w:rsidRPr="008D0B01">
            <w:rPr>
              <w:color w:val="auto"/>
              <w:lang w:val="es-CO"/>
            </w:rPr>
            <w:t>5</w:t>
          </w:r>
        </w:p>
        <w:p w:rsidR="00D775A2" w:rsidRPr="008D0B01" w:rsidRDefault="00D775A2" w:rsidP="00145896">
          <w:pPr>
            <w:pStyle w:val="TtuloTDC"/>
            <w:rPr>
              <w:color w:val="auto"/>
              <w:lang w:val="es-CO"/>
            </w:rPr>
          </w:pPr>
          <w:r w:rsidRPr="008D0B01">
            <w:rPr>
              <w:color w:val="auto"/>
              <w:lang w:val="es-CO"/>
            </w:rPr>
            <w:t xml:space="preserve">Identificación de roles y actores </w:t>
          </w:r>
          <w:r w:rsidRPr="008D0B01">
            <w:rPr>
              <w:color w:val="auto"/>
              <w:lang w:val="es-CO"/>
            </w:rPr>
            <w:ptab w:relativeTo="margin" w:alignment="right" w:leader="dot"/>
          </w:r>
          <w:r w:rsidR="00145896" w:rsidRPr="008D0B01">
            <w:rPr>
              <w:color w:val="auto"/>
              <w:lang w:val="es-CO"/>
            </w:rPr>
            <w:t>5</w:t>
          </w:r>
        </w:p>
        <w:p w:rsidR="00D775A2" w:rsidRPr="008D0B01" w:rsidRDefault="00D775A2" w:rsidP="00145896">
          <w:pPr>
            <w:pStyle w:val="TtuloTDC"/>
            <w:rPr>
              <w:color w:val="auto"/>
              <w:lang w:val="es-CO"/>
            </w:rPr>
          </w:pPr>
          <w:r w:rsidRPr="008D0B01">
            <w:rPr>
              <w:color w:val="auto"/>
              <w:lang w:val="es-CO"/>
            </w:rPr>
            <w:t xml:space="preserve">Actividades del proceso </w:t>
          </w:r>
          <w:r w:rsidRPr="008D0B01">
            <w:rPr>
              <w:color w:val="auto"/>
              <w:lang w:val="es-CO"/>
            </w:rPr>
            <w:ptab w:relativeTo="margin" w:alignment="right" w:leader="dot"/>
          </w:r>
          <w:r w:rsidR="00145896" w:rsidRPr="008D0B01">
            <w:rPr>
              <w:color w:val="auto"/>
              <w:lang w:val="es-CO"/>
            </w:rPr>
            <w:t>6</w:t>
          </w:r>
        </w:p>
        <w:p w:rsidR="00D775A2" w:rsidRPr="008D0B01" w:rsidRDefault="00D775A2" w:rsidP="00145896">
          <w:pPr>
            <w:pStyle w:val="TtuloTDC"/>
            <w:rPr>
              <w:color w:val="auto"/>
              <w:lang w:val="es-CO"/>
            </w:rPr>
          </w:pPr>
          <w:r w:rsidRPr="008D0B01">
            <w:rPr>
              <w:color w:val="auto"/>
              <w:lang w:val="es-CO"/>
            </w:rPr>
            <w:t xml:space="preserve">Subproceso relacionado </w:t>
          </w:r>
          <w:r w:rsidRPr="008D0B01">
            <w:rPr>
              <w:color w:val="auto"/>
              <w:lang w:val="es-CO"/>
            </w:rPr>
            <w:ptab w:relativeTo="margin" w:alignment="right" w:leader="dot"/>
          </w:r>
          <w:r w:rsidR="00145896" w:rsidRPr="008D0B01">
            <w:rPr>
              <w:color w:val="auto"/>
              <w:lang w:val="es-CO"/>
            </w:rPr>
            <w:t>14</w:t>
          </w:r>
        </w:p>
        <w:p w:rsidR="00D775A2" w:rsidRPr="008D0B01" w:rsidRDefault="00D775A2" w:rsidP="00145896">
          <w:pPr>
            <w:pStyle w:val="TtuloTDC"/>
            <w:rPr>
              <w:color w:val="auto"/>
              <w:lang w:val="es-CO"/>
            </w:rPr>
          </w:pPr>
          <w:r w:rsidRPr="008D0B01">
            <w:rPr>
              <w:color w:val="auto"/>
              <w:lang w:val="es-CO"/>
            </w:rPr>
            <w:t xml:space="preserve">Reglas de control </w:t>
          </w:r>
          <w:r w:rsidRPr="008D0B01">
            <w:rPr>
              <w:color w:val="auto"/>
              <w:lang w:val="es-CO"/>
            </w:rPr>
            <w:ptab w:relativeTo="margin" w:alignment="right" w:leader="dot"/>
          </w:r>
          <w:r w:rsidR="00145896" w:rsidRPr="008D0B01">
            <w:rPr>
              <w:color w:val="auto"/>
              <w:lang w:val="es-CO"/>
            </w:rPr>
            <w:t>14</w:t>
          </w:r>
        </w:p>
        <w:p w:rsidR="00145896" w:rsidRPr="008D0B01" w:rsidRDefault="00D775A2" w:rsidP="00145896">
          <w:pPr>
            <w:pStyle w:val="TtuloTDC"/>
            <w:rPr>
              <w:color w:val="auto"/>
              <w:lang w:val="es-CO"/>
            </w:rPr>
          </w:pPr>
          <w:r w:rsidRPr="008D0B01">
            <w:rPr>
              <w:color w:val="auto"/>
              <w:lang w:val="es-CO"/>
            </w:rPr>
            <w:t xml:space="preserve">Reglas de tiempo </w:t>
          </w:r>
          <w:r w:rsidR="00145896" w:rsidRPr="008D0B01">
            <w:rPr>
              <w:color w:val="auto"/>
              <w:lang w:val="es-CO"/>
            </w:rPr>
            <w:ptab w:relativeTo="margin" w:alignment="right" w:leader="dot"/>
          </w:r>
          <w:r w:rsidR="00145896" w:rsidRPr="008D0B01">
            <w:rPr>
              <w:color w:val="auto"/>
              <w:lang w:val="es-CO"/>
            </w:rPr>
            <w:t>15</w:t>
          </w:r>
        </w:p>
        <w:p w:rsidR="00145896" w:rsidRPr="008D0B01" w:rsidRDefault="00145896" w:rsidP="00145896">
          <w:pPr>
            <w:pStyle w:val="TtuloTDC"/>
            <w:rPr>
              <w:color w:val="auto"/>
              <w:lang w:val="es-CO"/>
            </w:rPr>
          </w:pPr>
          <w:r w:rsidRPr="008D0B01">
            <w:rPr>
              <w:color w:val="auto"/>
              <w:lang w:val="es-CO"/>
            </w:rPr>
            <w:t xml:space="preserve">Conclusiones </w:t>
          </w:r>
          <w:r w:rsidRPr="008D0B01">
            <w:rPr>
              <w:color w:val="auto"/>
              <w:lang w:val="es-CO"/>
            </w:rPr>
            <w:ptab w:relativeTo="margin" w:alignment="right" w:leader="dot"/>
          </w:r>
          <w:r w:rsidRPr="008D0B01">
            <w:rPr>
              <w:color w:val="auto"/>
              <w:lang w:val="es-CO"/>
            </w:rPr>
            <w:t>15</w:t>
          </w:r>
        </w:p>
        <w:p w:rsidR="00D775A2" w:rsidRPr="00D775A2" w:rsidRDefault="00D775A2" w:rsidP="00D775A2">
          <w:pPr>
            <w:rPr>
              <w:lang w:val="es-CO"/>
            </w:rPr>
          </w:pPr>
        </w:p>
        <w:p w:rsidR="00D775A2" w:rsidRPr="00D775A2" w:rsidRDefault="00D775A2" w:rsidP="00D775A2">
          <w:pPr>
            <w:rPr>
              <w:lang w:val="es-CO"/>
            </w:rPr>
          </w:pPr>
        </w:p>
        <w:p w:rsidR="00D775A2" w:rsidRPr="00D775A2" w:rsidRDefault="00C10636" w:rsidP="00D775A2">
          <w:pPr>
            <w:rPr>
              <w:lang w:val="es-CO" w:eastAsia="en-US"/>
            </w:rPr>
          </w:pPr>
        </w:p>
      </w:sdtContent>
    </w:sdt>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Default="00191094">
      <w:pPr>
        <w:pStyle w:val="Normal1"/>
        <w:rPr>
          <w:b/>
          <w:sz w:val="24"/>
          <w:szCs w:val="24"/>
          <w:lang w:val="es-CO"/>
        </w:rPr>
      </w:pPr>
    </w:p>
    <w:p w:rsidR="00145896" w:rsidRDefault="00145896">
      <w:pPr>
        <w:pStyle w:val="Normal1"/>
        <w:rPr>
          <w:b/>
          <w:sz w:val="24"/>
          <w:szCs w:val="24"/>
          <w:lang w:val="es-CO"/>
        </w:rPr>
      </w:pPr>
    </w:p>
    <w:p w:rsidR="00145896" w:rsidRPr="00D775A2" w:rsidRDefault="00145896">
      <w:pPr>
        <w:pStyle w:val="Normal1"/>
        <w:rPr>
          <w:b/>
          <w:sz w:val="24"/>
          <w:szCs w:val="24"/>
          <w:lang w:val="es-CO"/>
        </w:rPr>
      </w:pPr>
    </w:p>
    <w:p w:rsidR="00191094" w:rsidRPr="00D775A2" w:rsidRDefault="00191094">
      <w:pPr>
        <w:pStyle w:val="Normal1"/>
        <w:rPr>
          <w:b/>
          <w:sz w:val="24"/>
          <w:szCs w:val="24"/>
          <w:lang w:val="es-CO"/>
        </w:rPr>
      </w:pPr>
    </w:p>
    <w:p w:rsidR="00191094" w:rsidRPr="00D775A2" w:rsidRDefault="00CC6115">
      <w:pPr>
        <w:pStyle w:val="Normal1"/>
        <w:rPr>
          <w:b/>
          <w:sz w:val="24"/>
          <w:szCs w:val="24"/>
          <w:lang w:val="es-CO"/>
        </w:rPr>
      </w:pPr>
      <w:r w:rsidRPr="00D775A2">
        <w:rPr>
          <w:b/>
          <w:sz w:val="24"/>
          <w:szCs w:val="24"/>
          <w:lang w:val="es-CO"/>
        </w:rPr>
        <w:t>Introducción</w:t>
      </w:r>
    </w:p>
    <w:p w:rsidR="00191094" w:rsidRPr="00D775A2" w:rsidRDefault="00191094">
      <w:pPr>
        <w:pStyle w:val="Normal1"/>
        <w:jc w:val="both"/>
        <w:rPr>
          <w:sz w:val="24"/>
          <w:szCs w:val="24"/>
          <w:lang w:val="es-CO"/>
        </w:rPr>
      </w:pPr>
    </w:p>
    <w:p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El Instituto Nacional de Vías inició labores el primero de enero de 1994 mediante el decreto 2171 del 30 de diciembre de 1992, que creó un establecimiento público del orden nacional, con personería jurídica, autonomía administrativa y patrimonio propio, adscrito al Ministerio de Transporte, que tuviera como objetivo ejecutar las políticas y proyectos relacionados con la infraestructura vial a cargo de la Nación.</w:t>
      </w:r>
    </w:p>
    <w:p w:rsidR="00191094" w:rsidRPr="00D775A2" w:rsidRDefault="00191094">
      <w:pPr>
        <w:pStyle w:val="Normal1"/>
        <w:jc w:val="both"/>
        <w:rPr>
          <w:color w:val="333333"/>
          <w:sz w:val="24"/>
          <w:szCs w:val="24"/>
          <w:highlight w:val="white"/>
          <w:lang w:val="es-CO"/>
        </w:rPr>
      </w:pPr>
    </w:p>
    <w:p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Uno de los principales objetivos de Invias es orientar y documentar a los servidores públicos para la presentación oportuna de los siniestros ante la aseguradora en los tiempos establecidos para evitar prescripciones por términos de tiempos en los contratos de los seguros</w:t>
      </w:r>
    </w:p>
    <w:p w:rsidR="00191094" w:rsidRPr="00D775A2" w:rsidRDefault="00CC6115">
      <w:pPr>
        <w:pStyle w:val="Normal1"/>
        <w:spacing w:before="240" w:after="240" w:line="249" w:lineRule="auto"/>
        <w:jc w:val="both"/>
        <w:rPr>
          <w:color w:val="333333"/>
          <w:sz w:val="24"/>
          <w:szCs w:val="24"/>
          <w:highlight w:val="white"/>
          <w:lang w:val="es-CO"/>
        </w:rPr>
      </w:pPr>
      <w:r w:rsidRPr="00D775A2">
        <w:rPr>
          <w:color w:val="333333"/>
          <w:highlight w:val="white"/>
          <w:lang w:val="es-CO"/>
        </w:rPr>
        <w:t xml:space="preserve">INVIAS ampara las pérdidas y/o daños materiales que sufran los bienes de propiedad del Instituto Nacional de </w:t>
      </w:r>
      <w:r w:rsidR="001D17D6" w:rsidRPr="00D775A2">
        <w:rPr>
          <w:color w:val="333333"/>
          <w:highlight w:val="white"/>
          <w:lang w:val="es-CO"/>
        </w:rPr>
        <w:t xml:space="preserve">Vías </w:t>
      </w:r>
      <w:r w:rsidR="001D17D6" w:rsidRPr="00D775A2">
        <w:rPr>
          <w:color w:val="333333"/>
          <w:sz w:val="24"/>
          <w:szCs w:val="24"/>
          <w:highlight w:val="white"/>
          <w:lang w:val="es-CO"/>
        </w:rPr>
        <w:t>bajo</w:t>
      </w:r>
      <w:r w:rsidRPr="00D775A2">
        <w:rPr>
          <w:color w:val="333333"/>
          <w:sz w:val="24"/>
          <w:szCs w:val="24"/>
          <w:highlight w:val="white"/>
          <w:lang w:val="es-CO"/>
        </w:rPr>
        <w:t xml:space="preserve"> su </w:t>
      </w:r>
      <w:r w:rsidR="001D17D6" w:rsidRPr="00D775A2">
        <w:rPr>
          <w:color w:val="333333"/>
          <w:sz w:val="24"/>
          <w:szCs w:val="24"/>
          <w:highlight w:val="white"/>
          <w:lang w:val="es-CO"/>
        </w:rPr>
        <w:t>responsabilidad, evaluando</w:t>
      </w:r>
      <w:r w:rsidRPr="00D775A2">
        <w:rPr>
          <w:color w:val="333333"/>
          <w:sz w:val="24"/>
          <w:szCs w:val="24"/>
          <w:highlight w:val="white"/>
          <w:lang w:val="es-CO"/>
        </w:rPr>
        <w:t xml:space="preserve"> los siniestros </w:t>
      </w:r>
      <w:r w:rsidR="001D17D6" w:rsidRPr="00D775A2">
        <w:rPr>
          <w:color w:val="333333"/>
          <w:sz w:val="24"/>
          <w:szCs w:val="24"/>
          <w:highlight w:val="white"/>
          <w:lang w:val="es-CO"/>
        </w:rPr>
        <w:t>recibidos y por</w:t>
      </w:r>
      <w:r w:rsidRPr="00D775A2">
        <w:rPr>
          <w:color w:val="333333"/>
          <w:sz w:val="24"/>
          <w:szCs w:val="24"/>
          <w:highlight w:val="white"/>
          <w:lang w:val="es-CO"/>
        </w:rPr>
        <w:t xml:space="preserve"> los que tenga algún interés asegurable.</w:t>
      </w:r>
    </w:p>
    <w:p w:rsidR="00191094" w:rsidRPr="00D775A2" w:rsidRDefault="00191094">
      <w:pPr>
        <w:pStyle w:val="Normal1"/>
        <w:rPr>
          <w:b/>
          <w:sz w:val="24"/>
          <w:szCs w:val="24"/>
          <w:lang w:val="es-CO"/>
        </w:rPr>
      </w:pPr>
    </w:p>
    <w:p w:rsidR="00191094" w:rsidRPr="00D775A2" w:rsidRDefault="00CC6115">
      <w:pPr>
        <w:pStyle w:val="Normal1"/>
        <w:rPr>
          <w:b/>
          <w:sz w:val="24"/>
          <w:szCs w:val="24"/>
          <w:lang w:val="es-CO"/>
        </w:rPr>
      </w:pPr>
      <w:r w:rsidRPr="00D775A2">
        <w:rPr>
          <w:b/>
          <w:sz w:val="24"/>
          <w:szCs w:val="24"/>
          <w:lang w:val="es-CO"/>
        </w:rPr>
        <w:t xml:space="preserve">Contexto de la empresa </w:t>
      </w:r>
    </w:p>
    <w:p w:rsidR="00191094" w:rsidRPr="00D775A2" w:rsidRDefault="00191094">
      <w:pPr>
        <w:pStyle w:val="Normal1"/>
        <w:jc w:val="center"/>
        <w:rPr>
          <w:b/>
          <w:sz w:val="24"/>
          <w:szCs w:val="24"/>
          <w:lang w:val="es-CO"/>
        </w:rPr>
      </w:pPr>
    </w:p>
    <w:p w:rsidR="00191094" w:rsidRPr="00D775A2" w:rsidRDefault="00191094">
      <w:pPr>
        <w:pStyle w:val="Normal1"/>
        <w:jc w:val="center"/>
        <w:rPr>
          <w:b/>
          <w:sz w:val="24"/>
          <w:szCs w:val="24"/>
          <w:lang w:val="es-CO"/>
        </w:rPr>
      </w:pPr>
    </w:p>
    <w:p w:rsidR="00191094" w:rsidRPr="00D775A2" w:rsidRDefault="00CC6115">
      <w:pPr>
        <w:pStyle w:val="Normal1"/>
        <w:rPr>
          <w:b/>
          <w:sz w:val="24"/>
          <w:szCs w:val="24"/>
          <w:lang w:val="es-CO"/>
        </w:rPr>
      </w:pPr>
      <w:r w:rsidRPr="00D775A2">
        <w:rPr>
          <w:b/>
          <w:sz w:val="24"/>
          <w:szCs w:val="24"/>
          <w:lang w:val="es-CO"/>
        </w:rPr>
        <w:t>Logo</w:t>
      </w:r>
    </w:p>
    <w:p w:rsidR="00191094" w:rsidRPr="00D775A2" w:rsidRDefault="00CC6115">
      <w:pPr>
        <w:pStyle w:val="Normal1"/>
        <w:rPr>
          <w:b/>
          <w:sz w:val="24"/>
          <w:szCs w:val="24"/>
          <w:lang w:val="es-CO"/>
        </w:rPr>
      </w:pPr>
      <w:r w:rsidRPr="00D775A2">
        <w:rPr>
          <w:b/>
          <w:noProof/>
          <w:sz w:val="24"/>
          <w:szCs w:val="24"/>
          <w:lang w:eastAsia="en-US"/>
        </w:rPr>
        <w:drawing>
          <wp:inline distT="114300" distB="114300" distL="114300" distR="114300">
            <wp:extent cx="2400300" cy="1095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0300" cy="1095375"/>
                    </a:xfrm>
                    <a:prstGeom prst="rect">
                      <a:avLst/>
                    </a:prstGeom>
                    <a:ln/>
                  </pic:spPr>
                </pic:pic>
              </a:graphicData>
            </a:graphic>
          </wp:inline>
        </w:drawing>
      </w:r>
    </w:p>
    <w:p w:rsidR="00191094" w:rsidRPr="00D775A2" w:rsidRDefault="001D17D6">
      <w:pPr>
        <w:pStyle w:val="Normal1"/>
        <w:rPr>
          <w:color w:val="3C4043"/>
          <w:sz w:val="24"/>
          <w:szCs w:val="24"/>
          <w:highlight w:val="white"/>
          <w:lang w:val="es-CO"/>
        </w:rPr>
      </w:pPr>
      <w:r w:rsidRPr="00D775A2">
        <w:rPr>
          <w:b/>
          <w:sz w:val="24"/>
          <w:szCs w:val="24"/>
          <w:lang w:val="es-CO"/>
        </w:rPr>
        <w:t>Nombre:</w:t>
      </w:r>
      <w:r w:rsidRPr="00D775A2">
        <w:rPr>
          <w:color w:val="3C4043"/>
          <w:sz w:val="24"/>
          <w:szCs w:val="24"/>
          <w:highlight w:val="white"/>
          <w:lang w:val="es-CO"/>
        </w:rPr>
        <w:t xml:space="preserve"> Instituto</w:t>
      </w:r>
      <w:r w:rsidR="00CC6115" w:rsidRPr="00D775A2">
        <w:rPr>
          <w:color w:val="3C4043"/>
          <w:sz w:val="24"/>
          <w:szCs w:val="24"/>
          <w:highlight w:val="white"/>
          <w:lang w:val="es-CO"/>
        </w:rPr>
        <w:t xml:space="preserve"> Nacional de Vías (</w:t>
      </w:r>
      <w:r w:rsidR="00CC6115" w:rsidRPr="00D775A2">
        <w:rPr>
          <w:color w:val="52565A"/>
          <w:sz w:val="24"/>
          <w:szCs w:val="24"/>
          <w:highlight w:val="white"/>
          <w:lang w:val="es-CO"/>
        </w:rPr>
        <w:t>INVÍAS</w:t>
      </w:r>
      <w:r w:rsidR="00CC6115" w:rsidRPr="00D775A2">
        <w:rPr>
          <w:color w:val="3C4043"/>
          <w:sz w:val="24"/>
          <w:szCs w:val="24"/>
          <w:highlight w:val="white"/>
          <w:lang w:val="es-CO"/>
        </w:rPr>
        <w:t>)</w:t>
      </w:r>
    </w:p>
    <w:p w:rsidR="00191094" w:rsidRPr="00D775A2" w:rsidRDefault="00191094">
      <w:pPr>
        <w:pStyle w:val="Normal1"/>
        <w:rPr>
          <w:color w:val="3C4043"/>
          <w:sz w:val="24"/>
          <w:szCs w:val="24"/>
          <w:highlight w:val="white"/>
          <w:lang w:val="es-CO"/>
        </w:rPr>
      </w:pPr>
    </w:p>
    <w:p w:rsidR="00191094" w:rsidRPr="00D775A2" w:rsidRDefault="00CC6115">
      <w:pPr>
        <w:pStyle w:val="Normal1"/>
        <w:rPr>
          <w:b/>
          <w:sz w:val="24"/>
          <w:szCs w:val="24"/>
          <w:lang w:val="es-CO"/>
        </w:rPr>
      </w:pPr>
      <w:r w:rsidRPr="00D775A2">
        <w:rPr>
          <w:b/>
          <w:sz w:val="24"/>
          <w:szCs w:val="24"/>
          <w:lang w:val="es-CO"/>
        </w:rPr>
        <w:t>Detalle de la empresa:</w:t>
      </w:r>
    </w:p>
    <w:p w:rsidR="00191094" w:rsidRPr="00D775A2" w:rsidRDefault="00191094">
      <w:pPr>
        <w:pStyle w:val="Normal1"/>
        <w:rPr>
          <w:b/>
          <w:sz w:val="24"/>
          <w:szCs w:val="24"/>
          <w:lang w:val="es-CO"/>
        </w:rPr>
      </w:pPr>
    </w:p>
    <w:p w:rsidR="00191094" w:rsidRDefault="00CC6115">
      <w:pPr>
        <w:pStyle w:val="Normal1"/>
        <w:jc w:val="both"/>
        <w:rPr>
          <w:color w:val="333333"/>
          <w:sz w:val="24"/>
          <w:szCs w:val="24"/>
          <w:lang w:val="es-CO"/>
        </w:rPr>
      </w:pPr>
      <w:r w:rsidRPr="00D775A2">
        <w:rPr>
          <w:color w:val="333333"/>
          <w:sz w:val="24"/>
          <w:szCs w:val="24"/>
          <w:highlight w:val="white"/>
          <w:lang w:val="es-CO"/>
        </w:rPr>
        <w:t xml:space="preserve">El Instituto Nacional de Vías, Invías, tendrá como objeto la ejecución de las políticas, estrategias, planes, programas y proyectos de la infraestructura no concesionada de la Red Vial Nacional de carreteras primaria y terciaria, férrea, fluvial y de la </w:t>
      </w:r>
      <w:r w:rsidRPr="00D775A2">
        <w:rPr>
          <w:color w:val="333333"/>
          <w:sz w:val="24"/>
          <w:szCs w:val="24"/>
          <w:highlight w:val="white"/>
          <w:lang w:val="es-CO"/>
        </w:rPr>
        <w:lastRenderedPageBreak/>
        <w:t>infraestructura marítima, de acuerdo con los lineamientos dados por el Ministerio de Transporte</w:t>
      </w:r>
    </w:p>
    <w:p w:rsidR="00D775A2" w:rsidRPr="00D775A2" w:rsidRDefault="00D775A2">
      <w:pPr>
        <w:pStyle w:val="Normal1"/>
        <w:jc w:val="both"/>
        <w:rPr>
          <w:sz w:val="24"/>
          <w:szCs w:val="24"/>
          <w:lang w:val="es-CO"/>
        </w:rPr>
      </w:pPr>
    </w:p>
    <w:p w:rsidR="00191094" w:rsidRPr="00D775A2" w:rsidRDefault="00191094">
      <w:pPr>
        <w:pStyle w:val="Normal1"/>
        <w:rPr>
          <w:b/>
          <w:sz w:val="24"/>
          <w:szCs w:val="24"/>
          <w:lang w:val="es-CO"/>
        </w:rPr>
      </w:pPr>
    </w:p>
    <w:p w:rsidR="00191094" w:rsidRPr="00D775A2" w:rsidRDefault="00CC6115">
      <w:pPr>
        <w:pStyle w:val="Normal1"/>
        <w:rPr>
          <w:b/>
          <w:sz w:val="24"/>
          <w:szCs w:val="24"/>
          <w:lang w:val="es-CO"/>
        </w:rPr>
      </w:pPr>
      <w:r w:rsidRPr="00D775A2">
        <w:rPr>
          <w:b/>
          <w:sz w:val="24"/>
          <w:szCs w:val="24"/>
          <w:lang w:val="es-CO"/>
        </w:rPr>
        <w:t>Misión:</w:t>
      </w:r>
    </w:p>
    <w:p w:rsidR="00191094" w:rsidRPr="00D775A2" w:rsidRDefault="00191094">
      <w:pPr>
        <w:pStyle w:val="Normal1"/>
        <w:rPr>
          <w:b/>
          <w:sz w:val="24"/>
          <w:szCs w:val="24"/>
          <w:lang w:val="es-CO"/>
        </w:rPr>
      </w:pPr>
    </w:p>
    <w:p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Ejecutar políticas, estrategias, planes, programas y proyectos de infraestructura de la red vial carretera, férrea, fluvial y marítima, de acuerdo con los lineamientos dados por el Gobierno Nacional, generando resultados tendientes a solucionar necesidades de conectividad, transitabilidad y movilidad de los usuarios, contribuyendo a la competitividad del país, con un talento humano calificado y comprometido.</w:t>
      </w:r>
    </w:p>
    <w:p w:rsidR="00191094" w:rsidRPr="00D775A2" w:rsidRDefault="00191094">
      <w:pPr>
        <w:pStyle w:val="Normal1"/>
        <w:rPr>
          <w:b/>
          <w:color w:val="333333"/>
          <w:sz w:val="24"/>
          <w:szCs w:val="24"/>
          <w:highlight w:val="white"/>
          <w:lang w:val="es-CO"/>
        </w:rPr>
      </w:pPr>
    </w:p>
    <w:p w:rsidR="00191094" w:rsidRPr="00D775A2" w:rsidRDefault="00CC6115">
      <w:pPr>
        <w:pStyle w:val="Normal1"/>
        <w:rPr>
          <w:b/>
          <w:color w:val="333333"/>
          <w:sz w:val="24"/>
          <w:szCs w:val="24"/>
          <w:highlight w:val="white"/>
          <w:lang w:val="es-CO"/>
        </w:rPr>
      </w:pPr>
      <w:r w:rsidRPr="00D775A2">
        <w:rPr>
          <w:b/>
          <w:color w:val="333333"/>
          <w:sz w:val="24"/>
          <w:szCs w:val="24"/>
          <w:highlight w:val="white"/>
          <w:lang w:val="es-CO"/>
        </w:rPr>
        <w:t>Visión:</w:t>
      </w:r>
    </w:p>
    <w:p w:rsidR="00191094" w:rsidRPr="00D775A2" w:rsidRDefault="00191094">
      <w:pPr>
        <w:pStyle w:val="Normal1"/>
        <w:rPr>
          <w:b/>
          <w:color w:val="333333"/>
          <w:sz w:val="24"/>
          <w:szCs w:val="24"/>
          <w:highlight w:val="white"/>
          <w:lang w:val="es-CO"/>
        </w:rPr>
      </w:pPr>
    </w:p>
    <w:p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Para el año 2030 el Invías será reconocido por su liderazgo en la ejecución de proyectos de infraestructura georreferenciada (carreteros, férreos, fluviales y marítimos), con procesos de desarrollo sostenible e innovación tecnológica y normativa, fortaleciendo la articulación del transporte intermodal, la conectividad entre centros de producción y de consumo; y la integración territorial y regional, contribuyendo a la competitividad del país.</w:t>
      </w:r>
    </w:p>
    <w:p w:rsidR="00191094" w:rsidRPr="00D775A2" w:rsidRDefault="00191094">
      <w:pPr>
        <w:pStyle w:val="Normal1"/>
        <w:jc w:val="both"/>
        <w:rPr>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Información del proceso:</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color w:val="333333"/>
          <w:sz w:val="24"/>
          <w:szCs w:val="24"/>
          <w:highlight w:val="white"/>
          <w:lang w:val="es-CO"/>
        </w:rPr>
      </w:pPr>
      <w:r w:rsidRPr="00D775A2">
        <w:rPr>
          <w:b/>
          <w:color w:val="333333"/>
          <w:sz w:val="24"/>
          <w:szCs w:val="24"/>
          <w:highlight w:val="white"/>
          <w:lang w:val="es-CO"/>
        </w:rPr>
        <w:t xml:space="preserve">Nombre del proceso: </w:t>
      </w:r>
      <w:r w:rsidR="001D17D6" w:rsidRPr="00D775A2">
        <w:rPr>
          <w:color w:val="333333"/>
          <w:sz w:val="24"/>
          <w:szCs w:val="24"/>
          <w:highlight w:val="white"/>
          <w:lang w:val="es-CO"/>
        </w:rPr>
        <w:t>Póliza</w:t>
      </w:r>
      <w:r w:rsidRPr="00D775A2">
        <w:rPr>
          <w:color w:val="333333"/>
          <w:sz w:val="24"/>
          <w:szCs w:val="24"/>
          <w:highlight w:val="white"/>
          <w:lang w:val="es-CO"/>
        </w:rPr>
        <w:t xml:space="preserve"> todo riesgo de daño material (T.R.D.M )</w:t>
      </w:r>
    </w:p>
    <w:p w:rsidR="00191094" w:rsidRPr="00D775A2" w:rsidRDefault="00191094">
      <w:pPr>
        <w:pStyle w:val="Normal1"/>
        <w:jc w:val="both"/>
        <w:rPr>
          <w:color w:val="333333"/>
          <w:sz w:val="24"/>
          <w:szCs w:val="24"/>
          <w:highlight w:val="white"/>
          <w:lang w:val="es-CO"/>
        </w:rPr>
      </w:pPr>
    </w:p>
    <w:p w:rsidR="00191094" w:rsidRPr="00D775A2" w:rsidRDefault="001D17D6">
      <w:pPr>
        <w:pStyle w:val="Normal1"/>
        <w:jc w:val="both"/>
        <w:rPr>
          <w:b/>
          <w:color w:val="FF0000"/>
          <w:sz w:val="24"/>
          <w:szCs w:val="24"/>
          <w:highlight w:val="white"/>
          <w:lang w:val="es-CO"/>
        </w:rPr>
      </w:pPr>
      <w:r w:rsidRPr="00D775A2">
        <w:rPr>
          <w:b/>
          <w:color w:val="333333"/>
          <w:sz w:val="24"/>
          <w:szCs w:val="24"/>
          <w:highlight w:val="white"/>
          <w:lang w:val="es-CO"/>
        </w:rPr>
        <w:t>Explicación</w:t>
      </w:r>
      <w:r w:rsidR="00CC6115" w:rsidRPr="00D775A2">
        <w:rPr>
          <w:b/>
          <w:color w:val="333333"/>
          <w:sz w:val="24"/>
          <w:szCs w:val="24"/>
          <w:highlight w:val="white"/>
          <w:lang w:val="es-CO"/>
        </w:rPr>
        <w:t xml:space="preserve"> de alto nivel del proceso:</w:t>
      </w:r>
      <w:r w:rsidR="00CC6115" w:rsidRPr="00D775A2">
        <w:rPr>
          <w:b/>
          <w:color w:val="FF0000"/>
          <w:sz w:val="24"/>
          <w:szCs w:val="24"/>
          <w:highlight w:val="white"/>
          <w:lang w:val="es-CO"/>
        </w:rPr>
        <w:t>//parte de jeison</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Justificación de automatización de proceso:</w:t>
      </w:r>
      <w:r w:rsidRPr="00D775A2">
        <w:rPr>
          <w:b/>
          <w:color w:val="FF0000"/>
          <w:sz w:val="24"/>
          <w:szCs w:val="24"/>
          <w:highlight w:val="white"/>
          <w:lang w:val="es-CO"/>
        </w:rPr>
        <w:t>//parte de jeison</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FF0000"/>
          <w:sz w:val="24"/>
          <w:szCs w:val="24"/>
          <w:highlight w:val="white"/>
          <w:lang w:val="es-CO"/>
        </w:rPr>
      </w:pPr>
      <w:r w:rsidRPr="00D775A2">
        <w:rPr>
          <w:b/>
          <w:color w:val="333333"/>
          <w:sz w:val="24"/>
          <w:szCs w:val="24"/>
          <w:highlight w:val="white"/>
          <w:lang w:val="es-CO"/>
        </w:rPr>
        <w:t>Sponsor del proyecto: Josefina Lindo Figueroa</w:t>
      </w:r>
      <w:r w:rsidRPr="00D775A2">
        <w:rPr>
          <w:b/>
          <w:color w:val="FF0000"/>
          <w:sz w:val="24"/>
          <w:szCs w:val="24"/>
          <w:highlight w:val="white"/>
          <w:lang w:val="es-CO"/>
        </w:rPr>
        <w:t xml:space="preserve"> //falta describir rol</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Business Process Architecture(BPA):</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 xml:space="preserve">Catálogo de </w:t>
      </w:r>
      <w:r w:rsidR="001D17D6" w:rsidRPr="00D775A2">
        <w:rPr>
          <w:b/>
          <w:color w:val="333333"/>
          <w:sz w:val="24"/>
          <w:szCs w:val="24"/>
          <w:highlight w:val="white"/>
          <w:lang w:val="es-CO"/>
        </w:rPr>
        <w:t>macro proceso</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noProof/>
          <w:color w:val="333333"/>
          <w:sz w:val="24"/>
          <w:szCs w:val="24"/>
          <w:highlight w:val="white"/>
          <w:lang w:eastAsia="en-US"/>
        </w:rPr>
        <w:lastRenderedPageBreak/>
        <w:drawing>
          <wp:inline distT="114300" distB="114300" distL="114300" distR="114300">
            <wp:extent cx="5734050" cy="203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2032000"/>
                    </a:xfrm>
                    <a:prstGeom prst="rect">
                      <a:avLst/>
                    </a:prstGeom>
                    <a:ln/>
                  </pic:spPr>
                </pic:pic>
              </a:graphicData>
            </a:graphic>
          </wp:inline>
        </w:drawing>
      </w:r>
    </w:p>
    <w:p w:rsidR="00191094" w:rsidRPr="00D775A2" w:rsidRDefault="00191094">
      <w:pPr>
        <w:pStyle w:val="Normal1"/>
        <w:jc w:val="both"/>
        <w:rPr>
          <w:b/>
          <w:color w:val="333333"/>
          <w:sz w:val="24"/>
          <w:szCs w:val="24"/>
          <w:highlight w:val="white"/>
          <w:lang w:val="es-CO"/>
        </w:rPr>
      </w:pPr>
    </w:p>
    <w:p w:rsidR="00B9696C" w:rsidRDefault="00B9696C">
      <w:pPr>
        <w:pStyle w:val="Normal1"/>
        <w:jc w:val="both"/>
        <w:rPr>
          <w:b/>
          <w:color w:val="333333"/>
          <w:sz w:val="24"/>
          <w:szCs w:val="24"/>
          <w:highlight w:val="white"/>
          <w:lang w:val="es-CO"/>
        </w:rPr>
      </w:pPr>
    </w:p>
    <w:p w:rsidR="00145896" w:rsidRDefault="00145896">
      <w:pPr>
        <w:pStyle w:val="Normal1"/>
        <w:jc w:val="both"/>
        <w:rPr>
          <w:b/>
          <w:color w:val="333333"/>
          <w:sz w:val="24"/>
          <w:szCs w:val="24"/>
          <w:highlight w:val="white"/>
          <w:lang w:val="es-CO"/>
        </w:rPr>
      </w:pPr>
    </w:p>
    <w:p w:rsidR="00145896" w:rsidRDefault="00145896">
      <w:pPr>
        <w:pStyle w:val="Normal1"/>
        <w:jc w:val="both"/>
        <w:rPr>
          <w:b/>
          <w:color w:val="333333"/>
          <w:sz w:val="24"/>
          <w:szCs w:val="24"/>
          <w:highlight w:val="white"/>
          <w:lang w:val="es-CO"/>
        </w:rPr>
      </w:pPr>
    </w:p>
    <w:p w:rsidR="00145896" w:rsidRDefault="00145896">
      <w:pPr>
        <w:pStyle w:val="Normal1"/>
        <w:jc w:val="both"/>
        <w:rPr>
          <w:b/>
          <w:color w:val="333333"/>
          <w:sz w:val="24"/>
          <w:szCs w:val="24"/>
          <w:highlight w:val="white"/>
          <w:lang w:val="es-CO"/>
        </w:rPr>
      </w:pPr>
    </w:p>
    <w:p w:rsidR="00145896" w:rsidRDefault="00145896">
      <w:pPr>
        <w:pStyle w:val="Normal1"/>
        <w:jc w:val="both"/>
        <w:rPr>
          <w:b/>
          <w:color w:val="333333"/>
          <w:sz w:val="24"/>
          <w:szCs w:val="24"/>
          <w:highlight w:val="white"/>
          <w:lang w:val="es-CO"/>
        </w:rPr>
      </w:pPr>
    </w:p>
    <w:p w:rsidR="00145896" w:rsidRPr="00D775A2" w:rsidRDefault="00145896">
      <w:pPr>
        <w:pStyle w:val="Normal1"/>
        <w:jc w:val="both"/>
        <w:rPr>
          <w:b/>
          <w:color w:val="333333"/>
          <w:sz w:val="24"/>
          <w:szCs w:val="24"/>
          <w:highlight w:val="white"/>
          <w:lang w:val="es-CO"/>
        </w:rPr>
      </w:pPr>
    </w:p>
    <w:p w:rsidR="00191094" w:rsidRPr="00D775A2" w:rsidRDefault="00CC6115">
      <w:pPr>
        <w:pStyle w:val="Normal1"/>
        <w:spacing w:after="240" w:line="259" w:lineRule="auto"/>
        <w:rPr>
          <w:rFonts w:ascii="Calibri" w:eastAsia="Calibri" w:hAnsi="Calibri" w:cs="Calibri"/>
          <w:b/>
          <w:sz w:val="28"/>
          <w:szCs w:val="28"/>
          <w:lang w:val="es-CO"/>
        </w:rPr>
      </w:pPr>
      <w:r w:rsidRPr="00D775A2">
        <w:rPr>
          <w:rFonts w:ascii="Calibri" w:eastAsia="Calibri" w:hAnsi="Calibri" w:cs="Calibri"/>
          <w:b/>
          <w:sz w:val="28"/>
          <w:szCs w:val="28"/>
          <w:lang w:val="es-CO"/>
        </w:rPr>
        <w:t xml:space="preserve"> Eventos del proceso</w:t>
      </w:r>
    </w:p>
    <w:tbl>
      <w:tblPr>
        <w:tblStyle w:val="a"/>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90"/>
        <w:gridCol w:w="2240"/>
        <w:gridCol w:w="2165"/>
        <w:gridCol w:w="2343"/>
      </w:tblGrid>
      <w:tr w:rsidR="00191094" w:rsidRPr="00D775A2">
        <w:trPr>
          <w:trHeight w:val="755"/>
        </w:trPr>
        <w:tc>
          <w:tcPr>
            <w:tcW w:w="20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Id</w:t>
            </w:r>
          </w:p>
        </w:tc>
        <w:tc>
          <w:tcPr>
            <w:tcW w:w="2239"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Nombre evento</w:t>
            </w:r>
          </w:p>
        </w:tc>
        <w:tc>
          <w:tcPr>
            <w:tcW w:w="216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tipo</w:t>
            </w:r>
          </w:p>
        </w:tc>
        <w:tc>
          <w:tcPr>
            <w:tcW w:w="2342"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firstLine="720"/>
              <w:jc w:val="center"/>
              <w:rPr>
                <w:rFonts w:ascii="Calibri" w:eastAsia="Calibri" w:hAnsi="Calibri" w:cs="Calibri"/>
                <w:lang w:val="es-CO"/>
              </w:rPr>
            </w:pPr>
            <w:r w:rsidRPr="00D775A2">
              <w:rPr>
                <w:rFonts w:ascii="Calibri" w:eastAsia="Calibri" w:hAnsi="Calibri" w:cs="Calibri"/>
                <w:lang w:val="es-CO"/>
              </w:rPr>
              <w:t>Descripción evento</w:t>
            </w:r>
          </w:p>
        </w:tc>
      </w:tr>
      <w:tr w:rsidR="00191094" w:rsidRPr="00D775A2">
        <w:trPr>
          <w:trHeight w:val="755"/>
        </w:trPr>
        <w:tc>
          <w:tcPr>
            <w:tcW w:w="2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INV-PRO01-E01</w:t>
            </w:r>
          </w:p>
        </w:tc>
        <w:tc>
          <w:tcPr>
            <w:tcW w:w="2239"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Recibir requisitos para el pago</w:t>
            </w:r>
          </w:p>
        </w:tc>
        <w:tc>
          <w:tcPr>
            <w:tcW w:w="216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Mensaje (recepción)</w:t>
            </w:r>
          </w:p>
        </w:tc>
        <w:tc>
          <w:tcPr>
            <w:tcW w:w="234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r w:rsidR="00B9696C" w:rsidRPr="00D775A2">
              <w:rPr>
                <w:rFonts w:ascii="Calibri" w:eastAsia="Calibri" w:hAnsi="Calibri" w:cs="Calibri"/>
                <w:lang w:val="es-CO"/>
              </w:rPr>
              <w:t>Se recibe el listado de los documentos necesarios para que la aseguradora inicie el proceso de aceptar la indemnización a favor de INVIAS</w:t>
            </w:r>
          </w:p>
        </w:tc>
      </w:tr>
      <w:tr w:rsidR="00191094" w:rsidRPr="00D775A2" w:rsidTr="00B9696C">
        <w:trPr>
          <w:trHeight w:val="1295"/>
        </w:trPr>
        <w:tc>
          <w:tcPr>
            <w:tcW w:w="2090" w:type="dxa"/>
            <w:tcBorders>
              <w:left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INV-PRO01-E02</w:t>
            </w:r>
          </w:p>
        </w:tc>
        <w:tc>
          <w:tcPr>
            <w:tcW w:w="2239"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Recepción documento de indemnización</w:t>
            </w:r>
          </w:p>
        </w:tc>
        <w:tc>
          <w:tcPr>
            <w:tcW w:w="2165"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Mensaje (recepción)</w:t>
            </w:r>
          </w:p>
        </w:tc>
        <w:tc>
          <w:tcPr>
            <w:tcW w:w="2342"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Se recibe el recibo de indemnización por parte de la aseguradora</w:t>
            </w:r>
          </w:p>
        </w:tc>
      </w:tr>
      <w:tr w:rsidR="00B9696C" w:rsidRPr="00D775A2">
        <w:trPr>
          <w:trHeight w:val="1295"/>
        </w:trPr>
        <w:tc>
          <w:tcPr>
            <w:tcW w:w="2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INV-PRO01-E02</w:t>
            </w:r>
          </w:p>
        </w:tc>
        <w:tc>
          <w:tcPr>
            <w:tcW w:w="2239" w:type="dxa"/>
            <w:tcBorders>
              <w:bottom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Confirmación de pago</w:t>
            </w:r>
          </w:p>
        </w:tc>
        <w:tc>
          <w:tcPr>
            <w:tcW w:w="2165" w:type="dxa"/>
            <w:tcBorders>
              <w:bottom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Mensaje (recepción)</w:t>
            </w:r>
          </w:p>
        </w:tc>
        <w:tc>
          <w:tcPr>
            <w:tcW w:w="2342" w:type="dxa"/>
            <w:tcBorders>
              <w:bottom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Se confirma el pago de la indemnización por parte de la aseguradora</w:t>
            </w:r>
          </w:p>
        </w:tc>
      </w:tr>
    </w:tbl>
    <w:p w:rsidR="00D775A2" w:rsidRDefault="00D775A2" w:rsidP="00145896">
      <w:pPr>
        <w:pStyle w:val="Normal1"/>
        <w:spacing w:before="240" w:after="240" w:line="259" w:lineRule="auto"/>
        <w:rPr>
          <w:rFonts w:ascii="Calibri" w:eastAsia="Calibri" w:hAnsi="Calibri" w:cs="Calibri"/>
          <w:lang w:val="es-CO"/>
        </w:rPr>
      </w:pPr>
    </w:p>
    <w:p w:rsidR="00145896" w:rsidRPr="00145896" w:rsidRDefault="00145896" w:rsidP="00145896">
      <w:pPr>
        <w:pStyle w:val="Normal1"/>
        <w:spacing w:before="240" w:after="240" w:line="259" w:lineRule="auto"/>
        <w:rPr>
          <w:rFonts w:ascii="Calibri" w:eastAsia="Calibri" w:hAnsi="Calibri" w:cs="Calibri"/>
          <w:lang w:val="es-CO"/>
        </w:rPr>
      </w:pPr>
    </w:p>
    <w:p w:rsidR="00191094" w:rsidRPr="00D775A2" w:rsidRDefault="00CC6115">
      <w:pPr>
        <w:pStyle w:val="Normal1"/>
        <w:spacing w:before="240" w:after="240" w:line="259" w:lineRule="auto"/>
        <w:ind w:left="360"/>
        <w:rPr>
          <w:rFonts w:ascii="Calibri" w:eastAsia="Calibri" w:hAnsi="Calibri" w:cs="Calibri"/>
          <w:b/>
          <w:sz w:val="28"/>
          <w:szCs w:val="28"/>
          <w:lang w:val="es-CO"/>
        </w:rPr>
      </w:pPr>
      <w:r w:rsidRPr="00D775A2">
        <w:rPr>
          <w:rFonts w:ascii="Calibri" w:eastAsia="Calibri" w:hAnsi="Calibri" w:cs="Calibri"/>
          <w:b/>
          <w:sz w:val="28"/>
          <w:szCs w:val="28"/>
          <w:lang w:val="es-CO"/>
        </w:rPr>
        <w:lastRenderedPageBreak/>
        <w:t>Identificación de roles y actores</w:t>
      </w:r>
    </w:p>
    <w:tbl>
      <w:tblPr>
        <w:tblStyle w:val="a0"/>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2"/>
        <w:gridCol w:w="2172"/>
        <w:gridCol w:w="2277"/>
        <w:gridCol w:w="2217"/>
      </w:tblGrid>
      <w:tr w:rsidR="00191094" w:rsidRPr="00D775A2">
        <w:trPr>
          <w:trHeight w:val="755"/>
        </w:trPr>
        <w:tc>
          <w:tcPr>
            <w:tcW w:w="2172"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Id</w:t>
            </w:r>
          </w:p>
        </w:tc>
        <w:tc>
          <w:tcPr>
            <w:tcW w:w="2172"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Nombre del actor</w:t>
            </w:r>
          </w:p>
        </w:tc>
        <w:tc>
          <w:tcPr>
            <w:tcW w:w="2276"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Descripción</w:t>
            </w:r>
          </w:p>
        </w:tc>
        <w:tc>
          <w:tcPr>
            <w:tcW w:w="2216"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firstLine="720"/>
              <w:jc w:val="center"/>
              <w:rPr>
                <w:rFonts w:ascii="Calibri" w:eastAsia="Calibri" w:hAnsi="Calibri" w:cs="Calibri"/>
                <w:lang w:val="es-CO"/>
              </w:rPr>
            </w:pPr>
            <w:r w:rsidRPr="00D775A2">
              <w:rPr>
                <w:rFonts w:ascii="Calibri" w:eastAsia="Calibri" w:hAnsi="Calibri" w:cs="Calibri"/>
                <w:lang w:val="es-CO"/>
              </w:rPr>
              <w:t>Rol dentro del proceso</w:t>
            </w:r>
          </w:p>
        </w:tc>
      </w:tr>
      <w:tr w:rsidR="00191094" w:rsidRPr="00D775A2">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INV-PRO01-AC01</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Funcionario del bien</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INV-PRO01-AC02</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Superior jerárquico</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INV-PRO01-AC03</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Área de seguros</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75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INV-PRO01-AC04</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Subdirector administrativo</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bl>
    <w:p w:rsidR="00191094" w:rsidRPr="00D775A2" w:rsidRDefault="00CC6115">
      <w:pPr>
        <w:pStyle w:val="Normal1"/>
        <w:spacing w:before="240" w:after="240" w:line="259" w:lineRule="auto"/>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rPr>
          <w:rFonts w:ascii="Calibri" w:eastAsia="Calibri" w:hAnsi="Calibri" w:cs="Calibri"/>
          <w:b/>
          <w:sz w:val="28"/>
          <w:szCs w:val="28"/>
          <w:lang w:val="es-CO"/>
        </w:rPr>
      </w:pPr>
      <w:r w:rsidRPr="00D775A2">
        <w:rPr>
          <w:rFonts w:ascii="Calibri" w:eastAsia="Calibri" w:hAnsi="Calibri" w:cs="Calibri"/>
          <w:b/>
          <w:sz w:val="28"/>
          <w:szCs w:val="28"/>
          <w:lang w:val="es-CO"/>
        </w:rPr>
        <w:t>Actividades del proceso</w:t>
      </w:r>
    </w:p>
    <w:tbl>
      <w:tblPr>
        <w:tblStyle w:val="a1"/>
        <w:tblW w:w="8955"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185"/>
        <w:gridCol w:w="1215"/>
        <w:gridCol w:w="990"/>
        <w:gridCol w:w="1425"/>
        <w:gridCol w:w="1560"/>
        <w:gridCol w:w="1755"/>
      </w:tblGrid>
      <w:tr w:rsidR="00191094" w:rsidRPr="00D775A2">
        <w:trPr>
          <w:trHeight w:val="1025"/>
        </w:trPr>
        <w:tc>
          <w:tcPr>
            <w:tcW w:w="825"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Id</w:t>
            </w:r>
          </w:p>
        </w:tc>
        <w:tc>
          <w:tcPr>
            <w:tcW w:w="118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Nombre de la actividad</w:t>
            </w:r>
          </w:p>
        </w:tc>
        <w:tc>
          <w:tcPr>
            <w:tcW w:w="121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Descripción</w:t>
            </w:r>
          </w:p>
        </w:tc>
        <w:tc>
          <w:tcPr>
            <w:tcW w:w="990"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Tipo de la actividad</w:t>
            </w:r>
          </w:p>
        </w:tc>
        <w:tc>
          <w:tcPr>
            <w:tcW w:w="142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Formulario   y/o documentos</w:t>
            </w:r>
          </w:p>
        </w:tc>
        <w:tc>
          <w:tcPr>
            <w:tcW w:w="1560"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Aplicaciones y servicios</w:t>
            </w:r>
          </w:p>
        </w:tc>
        <w:tc>
          <w:tcPr>
            <w:tcW w:w="175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right="100"/>
              <w:jc w:val="center"/>
              <w:rPr>
                <w:rFonts w:ascii="Calibri" w:eastAsia="Calibri" w:hAnsi="Calibri" w:cs="Calibri"/>
                <w:lang w:val="es-CO"/>
              </w:rPr>
            </w:pPr>
            <w:r w:rsidRPr="00D775A2">
              <w:rPr>
                <w:rFonts w:ascii="Calibri" w:eastAsia="Calibri" w:hAnsi="Calibri" w:cs="Calibri"/>
                <w:lang w:val="es-CO"/>
              </w:rPr>
              <w:t>Documentación relacionada</w:t>
            </w:r>
          </w:p>
        </w:tc>
      </w:tr>
      <w:tr w:rsidR="00191094" w:rsidRPr="00D775A2">
        <w:trPr>
          <w:trHeight w:val="348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INV-PRO01-ACT01</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Realizar </w:t>
            </w:r>
            <w:r w:rsidR="00B9696C" w:rsidRPr="00D775A2">
              <w:rPr>
                <w:rFonts w:ascii="Calibri" w:eastAsia="Calibri" w:hAnsi="Calibri" w:cs="Calibri"/>
                <w:lang w:val="es-CO"/>
              </w:rPr>
              <w:t>informe detallado</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Informa en un documento en que sucedieron los hechos</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right="100"/>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1.Informe tiempo modo y lugar</w:t>
            </w:r>
          </w:p>
          <w:p w:rsidR="00B9696C" w:rsidRPr="00D775A2" w:rsidRDefault="00CC6115" w:rsidP="00B9696C">
            <w:pPr>
              <w:pStyle w:val="Normal1"/>
              <w:spacing w:before="240"/>
              <w:ind w:left="100" w:right="100"/>
              <w:rPr>
                <w:rFonts w:ascii="Calibri" w:eastAsia="Calibri" w:hAnsi="Calibri" w:cs="Calibri"/>
                <w:lang w:val="es-CO"/>
              </w:rPr>
            </w:pPr>
            <w:r w:rsidRPr="00D775A2">
              <w:rPr>
                <w:rFonts w:ascii="Calibri" w:eastAsia="Calibri" w:hAnsi="Calibri" w:cs="Calibri"/>
                <w:lang w:val="es-CO"/>
              </w:rPr>
              <w:t xml:space="preserve">      2.Informe de bomberos</w:t>
            </w:r>
          </w:p>
          <w:p w:rsidR="00191094" w:rsidRPr="00D775A2" w:rsidRDefault="00CC6115" w:rsidP="00B9696C">
            <w:pPr>
              <w:pStyle w:val="Normal1"/>
              <w:spacing w:before="240"/>
              <w:ind w:left="100" w:right="100"/>
              <w:rPr>
                <w:rFonts w:ascii="Calibri" w:eastAsia="Calibri" w:hAnsi="Calibri" w:cs="Calibri"/>
                <w:lang w:val="es-CO"/>
              </w:rPr>
            </w:pPr>
            <w:r w:rsidRPr="00D775A2">
              <w:rPr>
                <w:rFonts w:ascii="Calibri" w:eastAsia="Calibri" w:hAnsi="Calibri" w:cs="Calibri"/>
                <w:lang w:val="es-CO"/>
              </w:rPr>
              <w:t>3.Relacióndetallada de la perdida</w:t>
            </w:r>
          </w:p>
          <w:p w:rsidR="00191094" w:rsidRPr="00D775A2" w:rsidRDefault="00CC6115">
            <w:pPr>
              <w:pStyle w:val="Normal1"/>
              <w:spacing w:before="240"/>
              <w:ind w:left="100" w:right="100"/>
              <w:rPr>
                <w:rFonts w:ascii="Calibri" w:eastAsia="Calibri" w:hAnsi="Calibri" w:cs="Calibri"/>
                <w:lang w:val="es-CO"/>
              </w:rPr>
            </w:pPr>
            <w:r w:rsidRPr="00D775A2">
              <w:rPr>
                <w:rFonts w:ascii="Calibri" w:eastAsia="Calibri" w:hAnsi="Calibri" w:cs="Calibri"/>
                <w:lang w:val="es-CO"/>
              </w:rPr>
              <w:t xml:space="preserve">       4.Registro fotográfico</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460" w:right="100" w:hanging="360"/>
              <w:jc w:val="center"/>
              <w:rPr>
                <w:rFonts w:ascii="Calibri" w:eastAsia="Calibri" w:hAnsi="Calibri" w:cs="Calibri"/>
                <w:lang w:val="es-CO"/>
              </w:rPr>
            </w:pPr>
            <w:r w:rsidRPr="00D775A2">
              <w:rPr>
                <w:rFonts w:ascii="Calibri" w:eastAsia="Calibri" w:hAnsi="Calibri" w:cs="Calibri"/>
                <w:lang w:val="es-CO"/>
              </w:rPr>
              <w:t>·         Presupuesto de obra</w:t>
            </w:r>
          </w:p>
        </w:tc>
      </w:tr>
      <w:tr w:rsidR="00191094" w:rsidRPr="00D775A2">
        <w:trPr>
          <w:trHeight w:val="129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INV-PRO01-ACT02</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Enviar informe</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Envía el documento al superior jerárquico</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126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INV-PRO01-ACT03</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Rechazar solicitud</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Rechaza la solicitud si es conveniente</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372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INV-PRO01-ACT04</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Notificar a la aseguradora de tiempo agotado</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Una vez se envíen los documentos necesarios a la aseguradora esta tiene 30 días para responder si pasan este tiempo se le envía un recordatorio a la aseguradora</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303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INV-PRO01-ACT05</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rsidP="00B9696C">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Recopilar </w:t>
            </w:r>
            <w:r w:rsidR="00B9696C" w:rsidRPr="00D775A2">
              <w:rPr>
                <w:rFonts w:ascii="Calibri" w:eastAsia="Calibri" w:hAnsi="Calibri" w:cs="Calibri"/>
                <w:lang w:val="es-CO"/>
              </w:rPr>
              <w:t>información de pago requerida por la aseguradora</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Se recogen los documentos necesarios para que la aseguradora comience el proceso de indemnización.</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rsidTr="007E5BA1">
        <w:trPr>
          <w:trHeight w:val="8816"/>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INV-PRO01-ACT06</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Análisis de conveniencia</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Después de recibir el recibo de indemnización por parte de la aseguradora se hace un análisis de conveniencia para escoger la mejor opción para recuperar lo perdido.</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Oficio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Factura</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Certificación Bancaria (no mayor a 3 meses)</w:t>
            </w:r>
          </w:p>
          <w:p w:rsidR="00191094" w:rsidRPr="00D775A2" w:rsidRDefault="00CC6115">
            <w:pPr>
              <w:pStyle w:val="Normal1"/>
              <w:ind w:left="820" w:right="100" w:hanging="360"/>
              <w:jc w:val="center"/>
              <w:rPr>
                <w:rFonts w:ascii="Calibri" w:eastAsia="Calibri" w:hAnsi="Calibri" w:cs="Calibri"/>
                <w:lang w:val="es-CO"/>
              </w:rPr>
            </w:pPr>
            <w:r w:rsidRPr="00D775A2">
              <w:rPr>
                <w:sz w:val="20"/>
                <w:szCs w:val="20"/>
                <w:lang w:val="es-CO"/>
              </w:rPr>
              <w:t xml:space="preserve">•          </w:t>
            </w:r>
            <w:r w:rsidRPr="00D775A2">
              <w:rPr>
                <w:rFonts w:ascii="Calibri" w:eastAsia="Calibri" w:hAnsi="Calibri" w:cs="Calibri"/>
                <w:lang w:val="es-CO"/>
              </w:rPr>
              <w:t>Copia de la Cedula Representante legal</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Cámara de comercio ( no mayor a 3 meses)</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Rut de la persona o empresa titular de la cuenta que aparece</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 xml:space="preserve">Formulario </w:t>
            </w:r>
            <w:r w:rsidRPr="00D775A2">
              <w:rPr>
                <w:rFonts w:ascii="Calibri" w:eastAsia="Calibri" w:hAnsi="Calibri" w:cs="Calibri"/>
                <w:lang w:val="es-CO"/>
              </w:rPr>
              <w:lastRenderedPageBreak/>
              <w:t>de conocimiento de terceros SARLAF debidamente diligenciado y firmado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Recibo Indemnización Firmado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Seguimiento aplicativo</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rsidTr="007E5BA1">
        <w:trPr>
          <w:trHeight w:val="2154"/>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INV-PRO01-ACT07</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Firma del documento</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Una vez se decide cual va a ser la mejor opción para la indemnización el subdirector firma el </w:t>
            </w:r>
            <w:r w:rsidRPr="00D775A2">
              <w:rPr>
                <w:rFonts w:ascii="Calibri" w:eastAsia="Calibri" w:hAnsi="Calibri" w:cs="Calibri"/>
                <w:lang w:val="es-CO"/>
              </w:rPr>
              <w:lastRenderedPageBreak/>
              <w:t>documento para dar inicio al debido proceso</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rsidTr="007E5BA1">
        <w:trPr>
          <w:trHeight w:val="8674"/>
        </w:trPr>
        <w:tc>
          <w:tcPr>
            <w:tcW w:w="825" w:type="dxa"/>
            <w:tcBorders>
              <w:left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INV-PRO01-ACT08</w:t>
            </w:r>
          </w:p>
        </w:tc>
        <w:tc>
          <w:tcPr>
            <w:tcW w:w="1185"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Informar al proveedor de la aceptación de la oferta</w:t>
            </w:r>
          </w:p>
        </w:tc>
        <w:tc>
          <w:tcPr>
            <w:tcW w:w="1215"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Se le informa al proveedor elegido que se acepta la oferta para comenzar con el reemplazo y reparación de los bienes perdidos</w:t>
            </w:r>
          </w:p>
        </w:tc>
        <w:tc>
          <w:tcPr>
            <w:tcW w:w="990"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right w:val="single" w:sz="8" w:space="0" w:color="000000"/>
            </w:tcBorders>
            <w:tcMar>
              <w:top w:w="100" w:type="dxa"/>
              <w:left w:w="100" w:type="dxa"/>
              <w:bottom w:w="100" w:type="dxa"/>
              <w:right w:w="100" w:type="dxa"/>
            </w:tcMar>
          </w:tcPr>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Oficio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Factura</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Certificación Bancaria (no mayor a 3 meses)</w:t>
            </w:r>
          </w:p>
          <w:p w:rsidR="00191094" w:rsidRPr="00D775A2" w:rsidRDefault="00CC6115">
            <w:pPr>
              <w:pStyle w:val="Normal1"/>
              <w:ind w:left="820" w:right="100" w:hanging="360"/>
              <w:jc w:val="center"/>
              <w:rPr>
                <w:rFonts w:ascii="Calibri" w:eastAsia="Calibri" w:hAnsi="Calibri" w:cs="Calibri"/>
                <w:lang w:val="es-CO"/>
              </w:rPr>
            </w:pPr>
            <w:r w:rsidRPr="00D775A2">
              <w:rPr>
                <w:sz w:val="20"/>
                <w:szCs w:val="20"/>
                <w:lang w:val="es-CO"/>
              </w:rPr>
              <w:t xml:space="preserve">•          </w:t>
            </w:r>
            <w:r w:rsidRPr="00D775A2">
              <w:rPr>
                <w:rFonts w:ascii="Calibri" w:eastAsia="Calibri" w:hAnsi="Calibri" w:cs="Calibri"/>
                <w:lang w:val="es-CO"/>
              </w:rPr>
              <w:t>Copia de la Cedula Representante legal</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Cámara de comercio ( no mayor a 3 meses)</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 xml:space="preserve">Rut de la persona o empresa titular </w:t>
            </w:r>
            <w:r w:rsidRPr="00D775A2">
              <w:rPr>
                <w:rFonts w:ascii="Calibri" w:eastAsia="Calibri" w:hAnsi="Calibri" w:cs="Calibri"/>
                <w:lang w:val="es-CO"/>
              </w:rPr>
              <w:lastRenderedPageBreak/>
              <w:t>de la cuenta que aparece</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Formulario de conocimiento de terceros SARLAF debidamente diligenciado y firmado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Recibo Indemnización Firmado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Seguimiento aplicativo</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B9696C" w:rsidRPr="00D775A2" w:rsidTr="007E5BA1">
        <w:trPr>
          <w:trHeight w:val="3146"/>
        </w:trPr>
        <w:tc>
          <w:tcPr>
            <w:tcW w:w="825" w:type="dxa"/>
            <w:tcBorders>
              <w:left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INV-PRO01-ACT09</w:t>
            </w:r>
          </w:p>
        </w:tc>
        <w:tc>
          <w:tcPr>
            <w:tcW w:w="1185"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Informar al beneficiario</w:t>
            </w:r>
          </w:p>
        </w:tc>
        <w:tc>
          <w:tcPr>
            <w:tcW w:w="1215"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Se</w:t>
            </w:r>
            <w:r w:rsidR="007E5BA1" w:rsidRPr="00D775A2">
              <w:rPr>
                <w:rFonts w:ascii="Calibri" w:eastAsia="Calibri" w:hAnsi="Calibri" w:cs="Calibri"/>
                <w:lang w:val="es-CO"/>
              </w:rPr>
              <w:t xml:space="preserve"> le informa a</w:t>
            </w:r>
            <w:r w:rsidRPr="00D775A2">
              <w:rPr>
                <w:rFonts w:ascii="Calibri" w:eastAsia="Calibri" w:hAnsi="Calibri" w:cs="Calibri"/>
                <w:lang w:val="es-CO"/>
              </w:rPr>
              <w:t xml:space="preserve"> la persona beneficiaria que será indemnizada</w:t>
            </w:r>
          </w:p>
        </w:tc>
        <w:tc>
          <w:tcPr>
            <w:tcW w:w="990"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p>
        </w:tc>
        <w:tc>
          <w:tcPr>
            <w:tcW w:w="1560"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right w:val="single" w:sz="8" w:space="0" w:color="000000"/>
            </w:tcBorders>
            <w:tcMar>
              <w:top w:w="100" w:type="dxa"/>
              <w:left w:w="100" w:type="dxa"/>
              <w:bottom w:w="100" w:type="dxa"/>
              <w:right w:w="100" w:type="dxa"/>
            </w:tcMar>
          </w:tcPr>
          <w:p w:rsidR="00B9696C" w:rsidRPr="00D775A2" w:rsidRDefault="00B9696C">
            <w:pPr>
              <w:pStyle w:val="Normal1"/>
              <w:spacing w:line="259" w:lineRule="auto"/>
              <w:ind w:left="820" w:right="160" w:hanging="360"/>
              <w:jc w:val="center"/>
              <w:rPr>
                <w:rFonts w:ascii="Calibri" w:eastAsia="Calibri" w:hAnsi="Calibri" w:cs="Calibri"/>
                <w:sz w:val="20"/>
                <w:szCs w:val="20"/>
                <w:lang w:val="es-CO"/>
              </w:rPr>
            </w:pPr>
          </w:p>
        </w:tc>
      </w:tr>
      <w:tr w:rsidR="007E5BA1" w:rsidRPr="00D775A2" w:rsidTr="007E5BA1">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INV-PRO01-ACT10</w:t>
            </w:r>
          </w:p>
        </w:tc>
        <w:tc>
          <w:tcPr>
            <w:tcW w:w="118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Enviar documentos</w:t>
            </w:r>
          </w:p>
        </w:tc>
        <w:tc>
          <w:tcPr>
            <w:tcW w:w="121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Se envían los documentos a la aseguradora para que proceda a realizar el pago de la indemnización </w:t>
            </w:r>
          </w:p>
        </w:tc>
        <w:tc>
          <w:tcPr>
            <w:tcW w:w="99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p>
        </w:tc>
        <w:tc>
          <w:tcPr>
            <w:tcW w:w="156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right w:val="single" w:sz="8" w:space="0" w:color="000000"/>
            </w:tcBorders>
            <w:tcMar>
              <w:top w:w="100" w:type="dxa"/>
              <w:left w:w="100" w:type="dxa"/>
              <w:bottom w:w="100" w:type="dxa"/>
              <w:right w:w="100" w:type="dxa"/>
            </w:tcMar>
          </w:tcPr>
          <w:p w:rsidR="007E5BA1" w:rsidRPr="00D775A2" w:rsidRDefault="007E5BA1">
            <w:pPr>
              <w:pStyle w:val="Normal1"/>
              <w:spacing w:line="259" w:lineRule="auto"/>
              <w:ind w:left="820" w:right="160" w:hanging="360"/>
              <w:jc w:val="center"/>
              <w:rPr>
                <w:rFonts w:ascii="Calibri" w:eastAsia="Calibri" w:hAnsi="Calibri" w:cs="Calibri"/>
                <w:sz w:val="20"/>
                <w:szCs w:val="20"/>
                <w:lang w:val="es-CO"/>
              </w:rPr>
            </w:pPr>
          </w:p>
        </w:tc>
      </w:tr>
      <w:tr w:rsidR="007E5BA1" w:rsidRPr="00D775A2" w:rsidTr="007E5BA1">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INV-PRO01-ACT11</w:t>
            </w:r>
          </w:p>
        </w:tc>
        <w:tc>
          <w:tcPr>
            <w:tcW w:w="118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Informar posibles sanciones</w:t>
            </w:r>
          </w:p>
        </w:tc>
        <w:tc>
          <w:tcPr>
            <w:tcW w:w="121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Una vez se acaban los 30 días para que el pago sea confirmada se le informa a la aseguradora de las posibles sanciones que </w:t>
            </w:r>
            <w:r w:rsidRPr="00D775A2">
              <w:rPr>
                <w:rFonts w:ascii="Calibri" w:eastAsia="Calibri" w:hAnsi="Calibri" w:cs="Calibri"/>
                <w:lang w:val="es-CO"/>
              </w:rPr>
              <w:lastRenderedPageBreak/>
              <w:t>pueden imponerse</w:t>
            </w:r>
          </w:p>
        </w:tc>
        <w:tc>
          <w:tcPr>
            <w:tcW w:w="99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Usuario</w:t>
            </w:r>
          </w:p>
        </w:tc>
        <w:tc>
          <w:tcPr>
            <w:tcW w:w="142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p>
        </w:tc>
        <w:tc>
          <w:tcPr>
            <w:tcW w:w="156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right w:val="single" w:sz="8" w:space="0" w:color="000000"/>
            </w:tcBorders>
            <w:tcMar>
              <w:top w:w="100" w:type="dxa"/>
              <w:left w:w="100" w:type="dxa"/>
              <w:bottom w:w="100" w:type="dxa"/>
              <w:right w:w="100" w:type="dxa"/>
            </w:tcMar>
          </w:tcPr>
          <w:p w:rsidR="007E5BA1" w:rsidRPr="00D775A2" w:rsidRDefault="007E5BA1">
            <w:pPr>
              <w:pStyle w:val="Normal1"/>
              <w:spacing w:line="259" w:lineRule="auto"/>
              <w:ind w:left="820" w:right="160" w:hanging="360"/>
              <w:jc w:val="center"/>
              <w:rPr>
                <w:rFonts w:ascii="Calibri" w:eastAsia="Calibri" w:hAnsi="Calibri" w:cs="Calibri"/>
                <w:sz w:val="20"/>
                <w:szCs w:val="20"/>
                <w:lang w:val="es-CO"/>
              </w:rPr>
            </w:pPr>
          </w:p>
        </w:tc>
      </w:tr>
      <w:tr w:rsidR="007E5BA1" w:rsidRPr="00D775A2" w:rsidTr="00EA5139">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INV-PRO01-ACT12</w:t>
            </w:r>
          </w:p>
        </w:tc>
        <w:tc>
          <w:tcPr>
            <w:tcW w:w="1185" w:type="dxa"/>
            <w:tcBorders>
              <w:right w:val="single" w:sz="8" w:space="0" w:color="000000"/>
            </w:tcBorders>
            <w:tcMar>
              <w:top w:w="100" w:type="dxa"/>
              <w:left w:w="100" w:type="dxa"/>
              <w:bottom w:w="100" w:type="dxa"/>
              <w:right w:w="100" w:type="dxa"/>
            </w:tcMar>
          </w:tcPr>
          <w:p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Avisar pago al proveedor</w:t>
            </w:r>
          </w:p>
        </w:tc>
        <w:tc>
          <w:tcPr>
            <w:tcW w:w="1215" w:type="dxa"/>
            <w:tcBorders>
              <w:right w:val="single" w:sz="8" w:space="0" w:color="000000"/>
            </w:tcBorders>
            <w:tcMar>
              <w:top w:w="100" w:type="dxa"/>
              <w:left w:w="100" w:type="dxa"/>
              <w:bottom w:w="100" w:type="dxa"/>
              <w:right w:w="100" w:type="dxa"/>
            </w:tcMar>
          </w:tcPr>
          <w:p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Se le informa al proveedor que el pago a sido realizado</w:t>
            </w:r>
          </w:p>
        </w:tc>
        <w:tc>
          <w:tcPr>
            <w:tcW w:w="99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p>
        </w:tc>
        <w:tc>
          <w:tcPr>
            <w:tcW w:w="1425" w:type="dxa"/>
            <w:tcBorders>
              <w:right w:val="single" w:sz="8" w:space="0" w:color="000000"/>
            </w:tcBorders>
            <w:tcMar>
              <w:top w:w="100" w:type="dxa"/>
              <w:left w:w="100" w:type="dxa"/>
              <w:bottom w:w="100" w:type="dxa"/>
              <w:right w:w="100" w:type="dxa"/>
            </w:tcMar>
          </w:tcPr>
          <w:p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56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p>
        </w:tc>
        <w:tc>
          <w:tcPr>
            <w:tcW w:w="1755" w:type="dxa"/>
            <w:tcBorders>
              <w:right w:val="single" w:sz="8" w:space="0" w:color="000000"/>
            </w:tcBorders>
            <w:tcMar>
              <w:top w:w="100" w:type="dxa"/>
              <w:left w:w="100" w:type="dxa"/>
              <w:bottom w:w="100" w:type="dxa"/>
              <w:right w:w="100" w:type="dxa"/>
            </w:tcMar>
          </w:tcPr>
          <w:p w:rsidR="007E5BA1" w:rsidRPr="00D775A2" w:rsidRDefault="007E5BA1">
            <w:pPr>
              <w:pStyle w:val="Normal1"/>
              <w:spacing w:line="259" w:lineRule="auto"/>
              <w:ind w:left="820" w:right="160" w:hanging="360"/>
              <w:jc w:val="center"/>
              <w:rPr>
                <w:rFonts w:ascii="Calibri" w:eastAsia="Calibri" w:hAnsi="Calibri" w:cs="Calibri"/>
                <w:sz w:val="20"/>
                <w:szCs w:val="20"/>
                <w:lang w:val="es-CO"/>
              </w:rPr>
            </w:pPr>
          </w:p>
        </w:tc>
      </w:tr>
      <w:tr w:rsidR="00EA5139" w:rsidRPr="00D775A2" w:rsidTr="007E5BA1">
        <w:trPr>
          <w:trHeight w:val="3713"/>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INV-PRO01-ACT13</w:t>
            </w:r>
          </w:p>
        </w:tc>
        <w:tc>
          <w:tcPr>
            <w:tcW w:w="1185"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Enviar factura a almacén</w:t>
            </w:r>
          </w:p>
        </w:tc>
        <w:tc>
          <w:tcPr>
            <w:tcW w:w="1215"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p>
        </w:tc>
        <w:tc>
          <w:tcPr>
            <w:tcW w:w="990"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p>
        </w:tc>
        <w:tc>
          <w:tcPr>
            <w:tcW w:w="1425"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560"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p>
        </w:tc>
        <w:tc>
          <w:tcPr>
            <w:tcW w:w="1755"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spacing w:line="259" w:lineRule="auto"/>
              <w:ind w:left="820" w:right="160" w:hanging="360"/>
              <w:jc w:val="center"/>
              <w:rPr>
                <w:rFonts w:ascii="Calibri" w:eastAsia="Calibri" w:hAnsi="Calibri" w:cs="Calibri"/>
                <w:sz w:val="20"/>
                <w:szCs w:val="20"/>
                <w:lang w:val="es-CO"/>
              </w:rPr>
            </w:pPr>
          </w:p>
        </w:tc>
      </w:tr>
    </w:tbl>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191094">
      <w:pPr>
        <w:pStyle w:val="Normal1"/>
        <w:spacing w:after="240"/>
        <w:rPr>
          <w:rFonts w:ascii="Calibri" w:eastAsia="Calibri" w:hAnsi="Calibri" w:cs="Calibri"/>
          <w:b/>
          <w:sz w:val="28"/>
          <w:szCs w:val="28"/>
          <w:lang w:val="es-CO"/>
        </w:rPr>
      </w:pPr>
    </w:p>
    <w:p w:rsidR="00191094" w:rsidRPr="00D775A2" w:rsidRDefault="00CC6115">
      <w:pPr>
        <w:pStyle w:val="Normal1"/>
        <w:spacing w:after="240"/>
        <w:rPr>
          <w:rFonts w:ascii="Calibri" w:eastAsia="Calibri" w:hAnsi="Calibri" w:cs="Calibri"/>
          <w:b/>
          <w:sz w:val="28"/>
          <w:szCs w:val="28"/>
          <w:lang w:val="es-CO"/>
        </w:rPr>
      </w:pPr>
      <w:r w:rsidRPr="00D775A2">
        <w:rPr>
          <w:rFonts w:ascii="Calibri" w:eastAsia="Calibri" w:hAnsi="Calibri" w:cs="Calibri"/>
          <w:b/>
          <w:sz w:val="28"/>
          <w:szCs w:val="28"/>
          <w:lang w:val="es-CO"/>
        </w:rPr>
        <w:t>Subproceso relacionado</w:t>
      </w:r>
    </w:p>
    <w:tbl>
      <w:tblPr>
        <w:tblStyle w:val="a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83"/>
        <w:gridCol w:w="2350"/>
        <w:gridCol w:w="5105"/>
      </w:tblGrid>
      <w:tr w:rsidR="00191094" w:rsidRPr="00D775A2">
        <w:trPr>
          <w:trHeight w:val="530"/>
        </w:trPr>
        <w:tc>
          <w:tcPr>
            <w:tcW w:w="1383"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Id</w:t>
            </w:r>
          </w:p>
        </w:tc>
        <w:tc>
          <w:tcPr>
            <w:tcW w:w="2349"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Nombre</w:t>
            </w:r>
          </w:p>
        </w:tc>
        <w:tc>
          <w:tcPr>
            <w:tcW w:w="5104"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Descripción del uso del subproceso en el proceso padre</w:t>
            </w:r>
          </w:p>
        </w:tc>
      </w:tr>
      <w:tr w:rsidR="00191094" w:rsidRPr="00D775A2" w:rsidTr="007E5BA1">
        <w:trPr>
          <w:trHeight w:val="755"/>
        </w:trPr>
        <w:tc>
          <w:tcPr>
            <w:tcW w:w="1383" w:type="dxa"/>
            <w:tcBorders>
              <w:left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INV-PRO01-SP01</w:t>
            </w:r>
          </w:p>
        </w:tc>
        <w:tc>
          <w:tcPr>
            <w:tcW w:w="2349" w:type="dxa"/>
            <w:tcBorders>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Validar siniestro con la aseguradora</w:t>
            </w:r>
          </w:p>
        </w:tc>
        <w:tc>
          <w:tcPr>
            <w:tcW w:w="5104" w:type="dxa"/>
            <w:tcBorders>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Se valida con la aseguradora si va a reponer o efectuar arreglos a los bienes que se perdieron</w:t>
            </w:r>
          </w:p>
        </w:tc>
      </w:tr>
      <w:tr w:rsidR="007E5BA1" w:rsidRPr="00D775A2">
        <w:trPr>
          <w:trHeight w:val="755"/>
        </w:trPr>
        <w:tc>
          <w:tcPr>
            <w:tcW w:w="138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jc w:val="center"/>
              <w:rPr>
                <w:rFonts w:ascii="Calibri" w:eastAsia="Calibri" w:hAnsi="Calibri" w:cs="Calibri"/>
                <w:lang w:val="es-CO"/>
              </w:rPr>
            </w:pPr>
            <w:r w:rsidRPr="00D775A2">
              <w:rPr>
                <w:rFonts w:ascii="Calibri" w:eastAsia="Calibri" w:hAnsi="Calibri" w:cs="Calibri"/>
                <w:lang w:val="es-CO"/>
              </w:rPr>
              <w:t>INV-PRO01-SP02</w:t>
            </w:r>
          </w:p>
        </w:tc>
        <w:tc>
          <w:tcPr>
            <w:tcW w:w="2349" w:type="dxa"/>
            <w:tcBorders>
              <w:bottom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jc w:val="center"/>
              <w:rPr>
                <w:rFonts w:ascii="Calibri" w:eastAsia="Calibri" w:hAnsi="Calibri" w:cs="Calibri"/>
                <w:lang w:val="es-CO"/>
              </w:rPr>
            </w:pPr>
            <w:r w:rsidRPr="00D775A2">
              <w:rPr>
                <w:rFonts w:ascii="Calibri" w:eastAsia="Calibri" w:hAnsi="Calibri" w:cs="Calibri"/>
                <w:lang w:val="es-CO"/>
              </w:rPr>
              <w:t>Validar Información</w:t>
            </w:r>
          </w:p>
        </w:tc>
        <w:tc>
          <w:tcPr>
            <w:tcW w:w="5104" w:type="dxa"/>
            <w:tcBorders>
              <w:bottom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jc w:val="center"/>
              <w:rPr>
                <w:rFonts w:ascii="Calibri" w:eastAsia="Calibri" w:hAnsi="Calibri" w:cs="Calibri"/>
                <w:lang w:val="es-CO"/>
              </w:rPr>
            </w:pPr>
            <w:r w:rsidRPr="00D775A2">
              <w:rPr>
                <w:rFonts w:ascii="Calibri" w:eastAsia="Calibri" w:hAnsi="Calibri" w:cs="Calibri"/>
                <w:lang w:val="es-CO"/>
              </w:rPr>
              <w:t>Se valida que los documentos necesarios para continuar el proceso sean los necesarios</w:t>
            </w:r>
          </w:p>
        </w:tc>
      </w:tr>
    </w:tbl>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ind w:left="360"/>
        <w:rPr>
          <w:rFonts w:ascii="Calibri" w:eastAsia="Calibri" w:hAnsi="Calibri" w:cs="Calibri"/>
          <w:b/>
          <w:sz w:val="28"/>
          <w:szCs w:val="28"/>
          <w:lang w:val="es-CO"/>
        </w:rPr>
      </w:pPr>
      <w:r w:rsidRPr="00D775A2">
        <w:rPr>
          <w:rFonts w:ascii="Calibri" w:eastAsia="Calibri" w:hAnsi="Calibri" w:cs="Calibri"/>
          <w:b/>
          <w:sz w:val="28"/>
          <w:szCs w:val="28"/>
          <w:lang w:val="es-CO"/>
        </w:rPr>
        <w:t xml:space="preserve"> Reglas de control</w:t>
      </w:r>
    </w:p>
    <w:tbl>
      <w:tblPr>
        <w:tblStyle w:val="a3"/>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88"/>
        <w:gridCol w:w="3711"/>
        <w:gridCol w:w="2117"/>
        <w:gridCol w:w="1122"/>
      </w:tblGrid>
      <w:tr w:rsidR="00191094" w:rsidRPr="00D775A2">
        <w:trPr>
          <w:trHeight w:val="785"/>
        </w:trPr>
        <w:tc>
          <w:tcPr>
            <w:tcW w:w="1887"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Id</w:t>
            </w:r>
          </w:p>
        </w:tc>
        <w:tc>
          <w:tcPr>
            <w:tcW w:w="3711"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Descripción regla</w:t>
            </w:r>
          </w:p>
        </w:tc>
        <w:tc>
          <w:tcPr>
            <w:tcW w:w="2117"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Proceso evaluación</w:t>
            </w:r>
          </w:p>
        </w:tc>
        <w:tc>
          <w:tcPr>
            <w:tcW w:w="1122" w:type="dxa"/>
            <w:tcBorders>
              <w:top w:val="single" w:sz="8" w:space="0" w:color="000000"/>
              <w:bottom w:val="single" w:sz="8" w:space="0" w:color="000000"/>
              <w:right w:val="single" w:sz="8" w:space="0" w:color="000000"/>
            </w:tcBorders>
            <w:shd w:val="clear" w:color="auto" w:fill="F4B083"/>
            <w:tcMar>
              <w:top w:w="20" w:type="dxa"/>
              <w:left w:w="20" w:type="dxa"/>
              <w:bottom w:w="20" w:type="dxa"/>
              <w:right w:w="2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Posibles resultados</w:t>
            </w:r>
          </w:p>
        </w:tc>
      </w:tr>
      <w:tr w:rsidR="00191094" w:rsidRPr="00D775A2">
        <w:trPr>
          <w:trHeight w:val="5345"/>
        </w:trPr>
        <w:tc>
          <w:tcPr>
            <w:tcW w:w="18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INV-PRO01-RC01</w:t>
            </w:r>
          </w:p>
        </w:tc>
        <w:tc>
          <w:tcPr>
            <w:tcW w:w="3711"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Decisión de la aseguradora</w:t>
            </w:r>
          </w:p>
        </w:tc>
        <w:tc>
          <w:tcPr>
            <w:tcW w:w="2117"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Depende de la aseguradora</w:t>
            </w:r>
          </w:p>
        </w:tc>
        <w:tc>
          <w:tcPr>
            <w:tcW w:w="1122" w:type="dxa"/>
            <w:tcBorders>
              <w:bottom w:val="single" w:sz="8" w:space="0" w:color="000000"/>
              <w:right w:val="single" w:sz="8" w:space="0" w:color="000000"/>
            </w:tcBorders>
            <w:tcMar>
              <w:top w:w="20" w:type="dxa"/>
              <w:left w:w="20" w:type="dxa"/>
              <w:bottom w:w="20" w:type="dxa"/>
              <w:right w:w="2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Positivo: si la decisión es positiva el proceso sigue normalmente</w:t>
            </w:r>
          </w:p>
          <w:p w:rsidR="00191094" w:rsidRPr="00D775A2" w:rsidRDefault="00CC6115">
            <w:pPr>
              <w:pStyle w:val="Normal1"/>
              <w:spacing w:before="240"/>
              <w:jc w:val="center"/>
              <w:rPr>
                <w:rFonts w:ascii="Calibri" w:eastAsia="Calibri" w:hAnsi="Calibri" w:cs="Calibri"/>
                <w:lang w:val="es-CO"/>
              </w:rPr>
            </w:pPr>
            <w:r w:rsidRPr="00D775A2">
              <w:rPr>
                <w:rFonts w:ascii="Calibri" w:eastAsia="Calibri" w:hAnsi="Calibri" w:cs="Calibri"/>
                <w:lang w:val="es-CO"/>
              </w:rPr>
              <w:t>Negativo: si es negativo el proceso termina y comienza otro proceso para revisar mas en detalle la decisión que tomo la aseguradora</w:t>
            </w:r>
          </w:p>
        </w:tc>
      </w:tr>
    </w:tbl>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lastRenderedPageBreak/>
        <w:t xml:space="preserve"> </w:t>
      </w:r>
    </w:p>
    <w:p w:rsidR="00191094" w:rsidRPr="00D775A2" w:rsidRDefault="00191094">
      <w:pPr>
        <w:pStyle w:val="Normal1"/>
        <w:spacing w:before="240" w:after="240" w:line="259" w:lineRule="auto"/>
        <w:ind w:left="360"/>
        <w:rPr>
          <w:rFonts w:ascii="Calibri" w:eastAsia="Calibri" w:hAnsi="Calibri" w:cs="Calibri"/>
          <w:b/>
          <w:sz w:val="28"/>
          <w:szCs w:val="28"/>
          <w:lang w:val="es-CO"/>
        </w:rPr>
      </w:pPr>
    </w:p>
    <w:p w:rsidR="00191094" w:rsidRPr="00D775A2" w:rsidRDefault="00191094">
      <w:pPr>
        <w:pStyle w:val="Normal1"/>
        <w:spacing w:before="240" w:after="240" w:line="259" w:lineRule="auto"/>
        <w:ind w:left="360"/>
        <w:rPr>
          <w:rFonts w:ascii="Calibri" w:eastAsia="Calibri" w:hAnsi="Calibri" w:cs="Calibri"/>
          <w:b/>
          <w:sz w:val="28"/>
          <w:szCs w:val="28"/>
          <w:lang w:val="es-CO"/>
        </w:rPr>
      </w:pPr>
    </w:p>
    <w:p w:rsidR="00191094" w:rsidRPr="00D775A2" w:rsidRDefault="00191094">
      <w:pPr>
        <w:pStyle w:val="Normal1"/>
        <w:spacing w:before="240" w:after="240" w:line="259" w:lineRule="auto"/>
        <w:ind w:left="360"/>
        <w:rPr>
          <w:rFonts w:ascii="Calibri" w:eastAsia="Calibri" w:hAnsi="Calibri" w:cs="Calibri"/>
          <w:b/>
          <w:sz w:val="28"/>
          <w:szCs w:val="28"/>
          <w:lang w:val="es-CO"/>
        </w:rPr>
      </w:pPr>
    </w:p>
    <w:p w:rsidR="00191094" w:rsidRPr="00D775A2" w:rsidRDefault="00CC6115">
      <w:pPr>
        <w:pStyle w:val="Normal1"/>
        <w:spacing w:before="240" w:after="240" w:line="259" w:lineRule="auto"/>
        <w:ind w:left="360"/>
        <w:rPr>
          <w:rFonts w:ascii="Calibri" w:eastAsia="Calibri" w:hAnsi="Calibri" w:cs="Calibri"/>
          <w:b/>
          <w:sz w:val="28"/>
          <w:szCs w:val="28"/>
          <w:lang w:val="es-CO"/>
        </w:rPr>
      </w:pPr>
      <w:r w:rsidRPr="00D775A2">
        <w:rPr>
          <w:rFonts w:ascii="Calibri" w:eastAsia="Calibri" w:hAnsi="Calibri" w:cs="Calibri"/>
          <w:b/>
          <w:sz w:val="28"/>
          <w:szCs w:val="28"/>
          <w:lang w:val="es-CO"/>
        </w:rPr>
        <w:t>Reglas de tiempo</w:t>
      </w:r>
    </w:p>
    <w:tbl>
      <w:tblPr>
        <w:tblStyle w:val="a4"/>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4"/>
        <w:gridCol w:w="7094"/>
      </w:tblGrid>
      <w:tr w:rsidR="00191094" w:rsidRPr="00D775A2">
        <w:trPr>
          <w:trHeight w:val="530"/>
        </w:trPr>
        <w:tc>
          <w:tcPr>
            <w:tcW w:w="1744"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Nombre</w:t>
            </w:r>
          </w:p>
        </w:tc>
        <w:tc>
          <w:tcPr>
            <w:tcW w:w="7093"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Descripción de la regla</w:t>
            </w:r>
          </w:p>
        </w:tc>
      </w:tr>
      <w:tr w:rsidR="00191094" w:rsidRPr="00D775A2">
        <w:trPr>
          <w:trHeight w:val="1835"/>
        </w:trPr>
        <w:tc>
          <w:tcPr>
            <w:tcW w:w="174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Validar siniestro con la aseguradora</w:t>
            </w:r>
          </w:p>
        </w:tc>
        <w:tc>
          <w:tcPr>
            <w:tcW w:w="7093"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 xml:space="preserve">Una vez se envían los documentos a la aseguradora se entra en un proceso de espera de 30 días en el cual la aseguradora revisa el caso y decide si va indemnizar el siniestro y si por algún motivo rechaza la solicitud, si pasa 30 </w:t>
            </w:r>
            <w:r w:rsidR="00EA5139" w:rsidRPr="00D775A2">
              <w:rPr>
                <w:rFonts w:ascii="Calibri" w:eastAsia="Calibri" w:hAnsi="Calibri" w:cs="Calibri"/>
                <w:lang w:val="es-CO"/>
              </w:rPr>
              <w:t>días</w:t>
            </w:r>
            <w:r w:rsidRPr="00D775A2">
              <w:rPr>
                <w:rFonts w:ascii="Calibri" w:eastAsia="Calibri" w:hAnsi="Calibri" w:cs="Calibri"/>
                <w:lang w:val="es-CO"/>
              </w:rPr>
              <w:t xml:space="preserve"> sin la respuesta de la aseguradora se le notifica a la aseguradora que el tiempo de espera se </w:t>
            </w:r>
            <w:r w:rsidR="00253F62" w:rsidRPr="00D775A2">
              <w:rPr>
                <w:rFonts w:ascii="Calibri" w:eastAsia="Calibri" w:hAnsi="Calibri" w:cs="Calibri"/>
                <w:lang w:val="es-CO"/>
              </w:rPr>
              <w:t>agotó</w:t>
            </w:r>
            <w:r w:rsidRPr="00D775A2">
              <w:rPr>
                <w:rFonts w:ascii="Calibri" w:eastAsia="Calibri" w:hAnsi="Calibri" w:cs="Calibri"/>
                <w:lang w:val="es-CO"/>
              </w:rPr>
              <w:t xml:space="preserve"> para que </w:t>
            </w:r>
            <w:r w:rsidR="00EA5139" w:rsidRPr="00D775A2">
              <w:rPr>
                <w:rFonts w:ascii="Calibri" w:eastAsia="Calibri" w:hAnsi="Calibri" w:cs="Calibri"/>
                <w:lang w:val="es-CO"/>
              </w:rPr>
              <w:t>dé</w:t>
            </w:r>
            <w:r w:rsidRPr="00D775A2">
              <w:rPr>
                <w:rFonts w:ascii="Calibri" w:eastAsia="Calibri" w:hAnsi="Calibri" w:cs="Calibri"/>
                <w:lang w:val="es-CO"/>
              </w:rPr>
              <w:t xml:space="preserve"> una respuesta.</w:t>
            </w:r>
          </w:p>
        </w:tc>
      </w:tr>
    </w:tbl>
    <w:p w:rsidR="00191094" w:rsidRPr="00D775A2" w:rsidRDefault="00191094">
      <w:pPr>
        <w:pStyle w:val="Normal1"/>
        <w:spacing w:after="160" w:line="259" w:lineRule="auto"/>
        <w:rPr>
          <w:b/>
          <w:color w:val="333333"/>
          <w:sz w:val="24"/>
          <w:szCs w:val="24"/>
          <w:highlight w:val="white"/>
          <w:lang w:val="es-CO"/>
        </w:rPr>
      </w:pPr>
    </w:p>
    <w:p w:rsidR="00191094" w:rsidRPr="00D775A2" w:rsidRDefault="00191094">
      <w:pPr>
        <w:pStyle w:val="Normal1"/>
        <w:jc w:val="both"/>
        <w:rPr>
          <w:b/>
          <w:color w:val="333333"/>
          <w:sz w:val="24"/>
          <w:szCs w:val="24"/>
          <w:highlight w:val="white"/>
          <w:lang w:val="es-CO"/>
        </w:rPr>
      </w:pPr>
    </w:p>
    <w:p w:rsidR="00191094" w:rsidRPr="00D775A2" w:rsidRDefault="00191094">
      <w:pPr>
        <w:pStyle w:val="Normal1"/>
        <w:jc w:val="both"/>
        <w:rPr>
          <w:b/>
          <w:color w:val="333333"/>
          <w:sz w:val="24"/>
          <w:szCs w:val="24"/>
          <w:highlight w:val="white"/>
          <w:lang w:val="es-CO"/>
        </w:rPr>
      </w:pPr>
    </w:p>
    <w:p w:rsidR="00191094" w:rsidRDefault="00CC6115">
      <w:pPr>
        <w:pStyle w:val="Normal1"/>
        <w:jc w:val="both"/>
        <w:rPr>
          <w:b/>
          <w:color w:val="333333"/>
          <w:sz w:val="24"/>
          <w:szCs w:val="24"/>
          <w:highlight w:val="white"/>
          <w:lang w:val="es-CO"/>
        </w:rPr>
      </w:pPr>
      <w:r w:rsidRPr="00D775A2">
        <w:rPr>
          <w:b/>
          <w:color w:val="333333"/>
          <w:sz w:val="24"/>
          <w:szCs w:val="24"/>
          <w:highlight w:val="white"/>
          <w:lang w:val="es-CO"/>
        </w:rPr>
        <w:t>Conclusiones:</w:t>
      </w:r>
    </w:p>
    <w:p w:rsidR="00253F62" w:rsidRPr="00D775A2" w:rsidRDefault="00253F62" w:rsidP="00253F62">
      <w:pPr>
        <w:pStyle w:val="Normal1"/>
        <w:numPr>
          <w:ilvl w:val="0"/>
          <w:numId w:val="1"/>
        </w:numPr>
        <w:jc w:val="both"/>
        <w:rPr>
          <w:b/>
          <w:color w:val="333333"/>
          <w:sz w:val="24"/>
          <w:szCs w:val="24"/>
          <w:highlight w:val="white"/>
          <w:lang w:val="es-CO"/>
        </w:rPr>
      </w:pPr>
      <w:r>
        <w:rPr>
          <w:color w:val="333333"/>
          <w:sz w:val="24"/>
          <w:szCs w:val="24"/>
          <w:highlight w:val="white"/>
          <w:lang w:val="es-CO"/>
        </w:rPr>
        <w:t>Automatizar el proceso es de gran importancia para la empresa, generaría un gran valor y mejoraría la calidad del servicio. Ya que se aceleraría el proceso de revisión de si es o no un siniestro, revisión de documentos de si cumple o no con la póliza toma demasiado tiempo y puede significar un cuello de botella para el Beneficiario.</w:t>
      </w:r>
      <w:bookmarkStart w:id="0" w:name="_GoBack"/>
      <w:bookmarkEnd w:id="0"/>
    </w:p>
    <w:p w:rsidR="00191094" w:rsidRPr="00D775A2" w:rsidRDefault="00191094">
      <w:pPr>
        <w:pStyle w:val="Normal1"/>
        <w:jc w:val="both"/>
        <w:rPr>
          <w:b/>
          <w:color w:val="333333"/>
          <w:sz w:val="24"/>
          <w:szCs w:val="24"/>
          <w:highlight w:val="white"/>
          <w:lang w:val="es-CO"/>
        </w:rPr>
      </w:pPr>
    </w:p>
    <w:p w:rsidR="00191094" w:rsidRPr="00D775A2" w:rsidRDefault="00191094">
      <w:pPr>
        <w:pStyle w:val="Normal1"/>
        <w:jc w:val="both"/>
        <w:rPr>
          <w:b/>
          <w:color w:val="333333"/>
          <w:sz w:val="24"/>
          <w:szCs w:val="24"/>
          <w:highlight w:val="white"/>
          <w:lang w:val="es-CO"/>
        </w:rPr>
      </w:pPr>
    </w:p>
    <w:sectPr w:rsidR="00191094" w:rsidRPr="00D775A2" w:rsidSect="00191094">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636" w:rsidRDefault="00C10636" w:rsidP="00191094">
      <w:pPr>
        <w:spacing w:line="240" w:lineRule="auto"/>
      </w:pPr>
      <w:r>
        <w:separator/>
      </w:r>
    </w:p>
  </w:endnote>
  <w:endnote w:type="continuationSeparator" w:id="0">
    <w:p w:rsidR="00C10636" w:rsidRDefault="00C10636" w:rsidP="00191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094" w:rsidRDefault="00191094">
    <w:pPr>
      <w:pStyle w:val="Normal1"/>
      <w:jc w:val="right"/>
    </w:pPr>
    <w:r>
      <w:fldChar w:fldCharType="begin"/>
    </w:r>
    <w:r w:rsidR="00CC6115">
      <w:instrText>PAGE</w:instrText>
    </w:r>
    <w:r>
      <w:fldChar w:fldCharType="separate"/>
    </w:r>
    <w:r w:rsidR="00253F62">
      <w:rPr>
        <w:noProof/>
      </w:rPr>
      <w:t>16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636" w:rsidRDefault="00C10636" w:rsidP="00191094">
      <w:pPr>
        <w:spacing w:line="240" w:lineRule="auto"/>
      </w:pPr>
      <w:r>
        <w:separator/>
      </w:r>
    </w:p>
  </w:footnote>
  <w:footnote w:type="continuationSeparator" w:id="0">
    <w:p w:rsidR="00C10636" w:rsidRDefault="00C10636" w:rsidP="00191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C6DC4"/>
    <w:multiLevelType w:val="hybridMultilevel"/>
    <w:tmpl w:val="6CE2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91094"/>
    <w:rsid w:val="00145896"/>
    <w:rsid w:val="00191094"/>
    <w:rsid w:val="001D17D6"/>
    <w:rsid w:val="00246CB1"/>
    <w:rsid w:val="00253F62"/>
    <w:rsid w:val="00457D4D"/>
    <w:rsid w:val="00570C57"/>
    <w:rsid w:val="007E5BA1"/>
    <w:rsid w:val="008D0B01"/>
    <w:rsid w:val="008F2D57"/>
    <w:rsid w:val="00924B7B"/>
    <w:rsid w:val="00A23DDE"/>
    <w:rsid w:val="00A4310F"/>
    <w:rsid w:val="00A62100"/>
    <w:rsid w:val="00B9696C"/>
    <w:rsid w:val="00C10636"/>
    <w:rsid w:val="00CC6115"/>
    <w:rsid w:val="00D76683"/>
    <w:rsid w:val="00D775A2"/>
    <w:rsid w:val="00E74DE5"/>
    <w:rsid w:val="00EA51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2CC6"/>
  <w15:docId w15:val="{AC729FAE-EF74-457C-89D8-5D730E02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191094"/>
    <w:pPr>
      <w:keepNext/>
      <w:keepLines/>
      <w:spacing w:before="400" w:after="120"/>
      <w:outlineLvl w:val="0"/>
    </w:pPr>
    <w:rPr>
      <w:sz w:val="40"/>
      <w:szCs w:val="40"/>
    </w:rPr>
  </w:style>
  <w:style w:type="paragraph" w:styleId="Ttulo2">
    <w:name w:val="heading 2"/>
    <w:basedOn w:val="Normal1"/>
    <w:next w:val="Normal1"/>
    <w:rsid w:val="00191094"/>
    <w:pPr>
      <w:keepNext/>
      <w:keepLines/>
      <w:spacing w:before="360" w:after="120"/>
      <w:outlineLvl w:val="1"/>
    </w:pPr>
    <w:rPr>
      <w:sz w:val="32"/>
      <w:szCs w:val="32"/>
    </w:rPr>
  </w:style>
  <w:style w:type="paragraph" w:styleId="Ttulo3">
    <w:name w:val="heading 3"/>
    <w:basedOn w:val="Normal1"/>
    <w:next w:val="Normal1"/>
    <w:rsid w:val="00191094"/>
    <w:pPr>
      <w:keepNext/>
      <w:keepLines/>
      <w:spacing w:before="320" w:after="80"/>
      <w:outlineLvl w:val="2"/>
    </w:pPr>
    <w:rPr>
      <w:color w:val="434343"/>
      <w:sz w:val="28"/>
      <w:szCs w:val="28"/>
    </w:rPr>
  </w:style>
  <w:style w:type="paragraph" w:styleId="Ttulo4">
    <w:name w:val="heading 4"/>
    <w:basedOn w:val="Normal1"/>
    <w:next w:val="Normal1"/>
    <w:rsid w:val="00191094"/>
    <w:pPr>
      <w:keepNext/>
      <w:keepLines/>
      <w:spacing w:before="280" w:after="80"/>
      <w:outlineLvl w:val="3"/>
    </w:pPr>
    <w:rPr>
      <w:color w:val="666666"/>
      <w:sz w:val="24"/>
      <w:szCs w:val="24"/>
    </w:rPr>
  </w:style>
  <w:style w:type="paragraph" w:styleId="Ttulo5">
    <w:name w:val="heading 5"/>
    <w:basedOn w:val="Normal1"/>
    <w:next w:val="Normal1"/>
    <w:rsid w:val="00191094"/>
    <w:pPr>
      <w:keepNext/>
      <w:keepLines/>
      <w:spacing w:before="240" w:after="80"/>
      <w:outlineLvl w:val="4"/>
    </w:pPr>
    <w:rPr>
      <w:color w:val="666666"/>
    </w:rPr>
  </w:style>
  <w:style w:type="paragraph" w:styleId="Ttulo6">
    <w:name w:val="heading 6"/>
    <w:basedOn w:val="Normal1"/>
    <w:next w:val="Normal1"/>
    <w:rsid w:val="0019109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91094"/>
  </w:style>
  <w:style w:type="table" w:customStyle="1" w:styleId="TableNormal">
    <w:name w:val="Table Normal"/>
    <w:rsid w:val="00191094"/>
    <w:tblPr>
      <w:tblCellMar>
        <w:top w:w="0" w:type="dxa"/>
        <w:left w:w="0" w:type="dxa"/>
        <w:bottom w:w="0" w:type="dxa"/>
        <w:right w:w="0" w:type="dxa"/>
      </w:tblCellMar>
    </w:tblPr>
  </w:style>
  <w:style w:type="paragraph" w:styleId="Ttulo">
    <w:name w:val="Title"/>
    <w:basedOn w:val="Normal1"/>
    <w:next w:val="Normal1"/>
    <w:rsid w:val="00191094"/>
    <w:pPr>
      <w:keepNext/>
      <w:keepLines/>
      <w:spacing w:after="60"/>
    </w:pPr>
    <w:rPr>
      <w:sz w:val="52"/>
      <w:szCs w:val="52"/>
    </w:rPr>
  </w:style>
  <w:style w:type="paragraph" w:styleId="Subttulo">
    <w:name w:val="Subtitle"/>
    <w:basedOn w:val="Normal1"/>
    <w:next w:val="Normal1"/>
    <w:rsid w:val="00191094"/>
    <w:pPr>
      <w:keepNext/>
      <w:keepLines/>
      <w:spacing w:after="320"/>
    </w:pPr>
    <w:rPr>
      <w:color w:val="666666"/>
      <w:sz w:val="30"/>
      <w:szCs w:val="30"/>
    </w:rPr>
  </w:style>
  <w:style w:type="table" w:customStyle="1" w:styleId="a">
    <w:basedOn w:val="TableNormal"/>
    <w:rsid w:val="00191094"/>
    <w:tblPr>
      <w:tblStyleRowBandSize w:val="1"/>
      <w:tblStyleColBandSize w:val="1"/>
      <w:tblCellMar>
        <w:top w:w="100" w:type="dxa"/>
        <w:left w:w="100" w:type="dxa"/>
        <w:bottom w:w="100" w:type="dxa"/>
        <w:right w:w="100" w:type="dxa"/>
      </w:tblCellMar>
    </w:tblPr>
  </w:style>
  <w:style w:type="table" w:customStyle="1" w:styleId="a0">
    <w:basedOn w:val="TableNormal"/>
    <w:rsid w:val="00191094"/>
    <w:tblPr>
      <w:tblStyleRowBandSize w:val="1"/>
      <w:tblStyleColBandSize w:val="1"/>
      <w:tblCellMar>
        <w:top w:w="100" w:type="dxa"/>
        <w:left w:w="100" w:type="dxa"/>
        <w:bottom w:w="100" w:type="dxa"/>
        <w:right w:w="100" w:type="dxa"/>
      </w:tblCellMar>
    </w:tblPr>
  </w:style>
  <w:style w:type="table" w:customStyle="1" w:styleId="a1">
    <w:basedOn w:val="TableNormal"/>
    <w:rsid w:val="00191094"/>
    <w:tblPr>
      <w:tblStyleRowBandSize w:val="1"/>
      <w:tblStyleColBandSize w:val="1"/>
      <w:tblCellMar>
        <w:top w:w="100" w:type="dxa"/>
        <w:left w:w="100" w:type="dxa"/>
        <w:bottom w:w="100" w:type="dxa"/>
        <w:right w:w="100" w:type="dxa"/>
      </w:tblCellMar>
    </w:tblPr>
  </w:style>
  <w:style w:type="table" w:customStyle="1" w:styleId="a2">
    <w:basedOn w:val="TableNormal"/>
    <w:rsid w:val="00191094"/>
    <w:tblPr>
      <w:tblStyleRowBandSize w:val="1"/>
      <w:tblStyleColBandSize w:val="1"/>
      <w:tblCellMar>
        <w:top w:w="100" w:type="dxa"/>
        <w:left w:w="100" w:type="dxa"/>
        <w:bottom w:w="100" w:type="dxa"/>
        <w:right w:w="100" w:type="dxa"/>
      </w:tblCellMar>
    </w:tblPr>
  </w:style>
  <w:style w:type="table" w:customStyle="1" w:styleId="a3">
    <w:basedOn w:val="TableNormal"/>
    <w:rsid w:val="00191094"/>
    <w:tblPr>
      <w:tblStyleRowBandSize w:val="1"/>
      <w:tblStyleColBandSize w:val="1"/>
      <w:tblCellMar>
        <w:top w:w="100" w:type="dxa"/>
        <w:left w:w="100" w:type="dxa"/>
        <w:bottom w:w="100" w:type="dxa"/>
        <w:right w:w="100" w:type="dxa"/>
      </w:tblCellMar>
    </w:tblPr>
  </w:style>
  <w:style w:type="table" w:customStyle="1" w:styleId="a4">
    <w:basedOn w:val="TableNormal"/>
    <w:rsid w:val="00191094"/>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969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96C"/>
    <w:rPr>
      <w:rFonts w:ascii="Tahoma" w:hAnsi="Tahoma" w:cs="Tahoma"/>
      <w:sz w:val="16"/>
      <w:szCs w:val="16"/>
    </w:rPr>
  </w:style>
  <w:style w:type="paragraph" w:styleId="TtuloTDC">
    <w:name w:val="TOC Heading"/>
    <w:basedOn w:val="Ttulo1"/>
    <w:next w:val="Normal"/>
    <w:uiPriority w:val="39"/>
    <w:unhideWhenUsed/>
    <w:qFormat/>
    <w:rsid w:val="00D775A2"/>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DC1">
    <w:name w:val="toc 1"/>
    <w:basedOn w:val="Normal"/>
    <w:next w:val="Normal"/>
    <w:autoRedefine/>
    <w:uiPriority w:val="39"/>
    <w:unhideWhenUsed/>
    <w:rsid w:val="00D775A2"/>
    <w:pPr>
      <w:spacing w:after="100"/>
    </w:pPr>
  </w:style>
  <w:style w:type="paragraph" w:styleId="TDC2">
    <w:name w:val="toc 2"/>
    <w:basedOn w:val="Normal"/>
    <w:next w:val="Normal"/>
    <w:autoRedefine/>
    <w:uiPriority w:val="39"/>
    <w:unhideWhenUsed/>
    <w:rsid w:val="00D775A2"/>
    <w:pPr>
      <w:spacing w:after="100" w:line="259" w:lineRule="auto"/>
      <w:ind w:left="220"/>
    </w:pPr>
    <w:rPr>
      <w:rFonts w:asciiTheme="minorHAnsi" w:eastAsiaTheme="minorEastAsia" w:hAnsiTheme="minorHAnsi" w:cs="Times New Roman"/>
      <w:lang w:eastAsia="en-US"/>
    </w:rPr>
  </w:style>
  <w:style w:type="paragraph" w:styleId="TDC3">
    <w:name w:val="toc 3"/>
    <w:basedOn w:val="Normal"/>
    <w:next w:val="Normal"/>
    <w:autoRedefine/>
    <w:uiPriority w:val="39"/>
    <w:unhideWhenUsed/>
    <w:rsid w:val="00D775A2"/>
    <w:pPr>
      <w:spacing w:after="100" w:line="259" w:lineRule="auto"/>
      <w:ind w:left="440"/>
    </w:pPr>
    <w:rPr>
      <w:rFonts w:asciiTheme="minorHAnsi" w:eastAsiaTheme="minorEastAsia" w:hAnsiTheme="minorHAnsi" w:cs="Times New Roman"/>
      <w:lang w:eastAsia="en-US"/>
    </w:rPr>
  </w:style>
  <w:style w:type="character" w:styleId="Hipervnculo">
    <w:name w:val="Hyperlink"/>
    <w:basedOn w:val="Fuentedeprrafopredeter"/>
    <w:uiPriority w:val="99"/>
    <w:unhideWhenUsed/>
    <w:rsid w:val="001458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8B410-B7CA-4D36-842A-C8D47E44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1297</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Alfonso</cp:lastModifiedBy>
  <cp:revision>18</cp:revision>
  <dcterms:created xsi:type="dcterms:W3CDTF">2020-02-21T23:31:00Z</dcterms:created>
  <dcterms:modified xsi:type="dcterms:W3CDTF">2020-02-22T04:06:00Z</dcterms:modified>
</cp:coreProperties>
</file>