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01D5" w:rsidRDefault="000201D5">
      <w:pPr>
        <w:spacing w:after="1400"/>
      </w:pPr>
    </w:p>
    <w:p w:rsidR="000201D5" w:rsidRDefault="008D25D4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ECOPLATO</w:t>
      </w:r>
    </w:p>
    <w:p w:rsidR="000201D5" w:rsidRDefault="008D25D4">
      <w:pPr>
        <w:spacing w:after="480"/>
        <w:jc w:val="center"/>
      </w:pPr>
      <w:r>
        <w:rPr>
          <w:rFonts w:ascii="Calibri" w:eastAsia="Calibri" w:hAnsi="Calibri" w:cs="Calibri"/>
          <w:i/>
          <w:iCs/>
          <w:color w:val="EF6C00"/>
          <w:sz w:val="24"/>
          <w:szCs w:val="24"/>
        </w:rPr>
        <w:t>"Comida que conecta, acciones que alimentan"</w:t>
      </w:r>
    </w:p>
    <w:p w:rsidR="000201D5" w:rsidRDefault="008D25D4">
      <w:pPr>
        <w:spacing w:after="7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Documento de Formulación del Proyecto Integrador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96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Programa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Técnico Laboral como Asistente en Desarrollo de Software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Institución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Cesde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Escuela de Nuevas Tecnologías, Medellín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Submódulo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Introducción a la Programación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Nivel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Nivel 1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Periodo académico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2026-2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Docente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Yarleyda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Borja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Borja</w:t>
            </w:r>
            <w:proofErr w:type="spellEnd"/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Fecha de entrega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 de agosto de 2026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Momento de evidencia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Primer Momento</w:t>
            </w:r>
          </w:p>
        </w:tc>
      </w:tr>
    </w:tbl>
    <w:p w:rsidR="000201D5" w:rsidRDefault="008D25D4">
      <w:r>
        <w:br w:type="page"/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lastRenderedPageBreak/>
        <w:t>Integrantes del equipo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16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Nombre completo</w:t>
            </w:r>
          </w:p>
        </w:tc>
        <w:tc>
          <w:tcPr>
            <w:tcW w:w="36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Documento de identidad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Juan Sebastián Venegas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1.037.608.335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Cristian Alberto Castaño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Castaño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1.214.723.776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Santiago Agudelo Ceballos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1.001.032.321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Andrés Mauricio Jiménez Rodríguez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15.371.198</w:t>
            </w:r>
          </w:p>
        </w:tc>
      </w:tr>
    </w:tbl>
    <w:p w:rsidR="000201D5" w:rsidRDefault="000201D5">
      <w:pPr>
        <w:spacing w:after="140" w:line="276" w:lineRule="auto"/>
        <w:jc w:val="both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equipo trabaja de forma colaborativa, con distribución del desarrollo por componentes y apoyo mutuo en el aprendizaje de las herramientas.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1. Planteamiento del problema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Los restaurantes generan excedentes de alimentos aptos para el consumo humano de fo</w:t>
      </w:r>
      <w:r>
        <w:rPr>
          <w:rFonts w:ascii="Calibri" w:eastAsia="Calibri" w:hAnsi="Calibri" w:cs="Calibri"/>
          <w:sz w:val="22"/>
          <w:szCs w:val="22"/>
        </w:rPr>
        <w:t xml:space="preserve">rma recurrente y predecible. Sin embargo, los gestionan de manera reactiva y tardía: cuando el excedente ya existe, la ventana de aprovechamiento se reduce a pocas horas y la coordinación con comedores comunitarios depende de llamadas, mensajes informales </w:t>
      </w:r>
      <w:r>
        <w:rPr>
          <w:rFonts w:ascii="Calibri" w:eastAsia="Calibri" w:hAnsi="Calibri" w:cs="Calibri"/>
          <w:sz w:val="22"/>
          <w:szCs w:val="22"/>
        </w:rPr>
        <w:t>y disponibilidad fortuita.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resultado es doble. Por un lado, alimento en buen estado que termina en la basura. Por el otro, comedores comunitarios que no pueden planear su menú porque desconocen qué recibirán y cuándo.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El problema no es la ausencia de un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canal de comunicación. Los canales existen. El problema es que todos operan después de que el excedente ya ocurrió.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2. Objetivos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Objetivo general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Desarrollar una plataforma web que anticipe y asigne excedentes alimentarios de restaurantes hacia comedores</w:t>
      </w:r>
      <w:r>
        <w:rPr>
          <w:rFonts w:ascii="Calibri" w:eastAsia="Calibri" w:hAnsi="Calibri" w:cs="Calibri"/>
          <w:sz w:val="22"/>
          <w:szCs w:val="22"/>
        </w:rPr>
        <w:t xml:space="preserve"> comunitarios, reduciendo el desperdicio de alimentos y permitiendo a los receptores planear su operación con antelación.</w:t>
      </w: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Objetivos específicos</w:t>
      </w:r>
    </w:p>
    <w:p w:rsidR="000201D5" w:rsidRDefault="008D25D4">
      <w:pPr>
        <w:pStyle w:val="Prrafode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Diseñar una interfaz que permita a un restaurante registrar excedentes disponibles junto con su ventana de </w:t>
      </w:r>
      <w:proofErr w:type="spellStart"/>
      <w:r>
        <w:rPr>
          <w:rFonts w:ascii="Calibri" w:eastAsia="Calibri" w:hAnsi="Calibri" w:cs="Calibri"/>
          <w:sz w:val="22"/>
          <w:szCs w:val="22"/>
        </w:rPr>
        <w:t>perecibilidad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0201D5" w:rsidRDefault="008D25D4">
      <w:pPr>
        <w:pStyle w:val="Prrafode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Diseñar un panel que permita a un comedor comunitario consultar la disponibilidad prevista y confirmar la recogida.</w:t>
      </w:r>
    </w:p>
    <w:p w:rsidR="000201D5" w:rsidRDefault="008D25D4">
      <w:pPr>
        <w:pStyle w:val="Prrafode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Construir un panel</w:t>
      </w:r>
      <w:r>
        <w:rPr>
          <w:rFonts w:ascii="Calibri" w:eastAsia="Calibri" w:hAnsi="Calibri" w:cs="Calibri"/>
          <w:sz w:val="22"/>
          <w:szCs w:val="22"/>
        </w:rPr>
        <w:t xml:space="preserve"> de indicadores que mida el impacto real de la operación, incluyendo sus fallos.</w:t>
      </w:r>
    </w:p>
    <w:p w:rsidR="000201D5" w:rsidRDefault="008D25D4">
      <w:pPr>
        <w:pStyle w:val="Prrafode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Aplicar control de versiones con Git durante todo el desarrollo del proyecto.</w:t>
      </w:r>
    </w:p>
    <w:p w:rsidR="000201D5" w:rsidRDefault="008D25D4">
      <w:pPr>
        <w:pStyle w:val="Prrafode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Escalar el prototipo hacia una aplicación funcional conforme avance el programa académico.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3. Aná</w:t>
      </w: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lisis de soluciones existentes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 realizó una revisión de plataformas que abordan el desperdicio alimentario, tanto a nivel internacional como en el mercado colombiano.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2880"/>
        <w:gridCol w:w="328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13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288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Modelo de operación</w:t>
            </w:r>
          </w:p>
        </w:tc>
        <w:tc>
          <w:tcPr>
            <w:tcW w:w="328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Limitación frente a la propuesta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Good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Dinamarca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Venta de paquetes sorpresa de excedente a consumidores finales a precio reducido</w:t>
            </w:r>
          </w:p>
        </w:tc>
        <w:tc>
          <w:tcPr>
            <w:tcW w:w="32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 comercio, no donación. El beneficiario es un cliente que paga, no población vulnerable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Olio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Reino Unido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Intercambio comunitario de alimentos entre vecinos</w:t>
            </w:r>
          </w:p>
        </w:tc>
        <w:tc>
          <w:tcPr>
            <w:tcW w:w="328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Opera persona a persona, sin estructura institucional ni trazabilidad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EatCloud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Colombia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Anuncio de donaciones canalizadas a través de ABACO y su red de bancos de alimentos, con certificado de donación tributario</w:t>
            </w:r>
          </w:p>
        </w:tc>
        <w:tc>
          <w:tcPr>
            <w:tcW w:w="32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Competidor directo en el mercado objetivo. Modelo reactivo: opera cuando el excedente ya existe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Red ABACO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Colombia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Red logística nacional de bancos de alimentos presente en 26 territorios</w:t>
            </w:r>
          </w:p>
        </w:tc>
        <w:tc>
          <w:tcPr>
            <w:tcW w:w="328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Infraestructura consolidada que opera por volumen y programación, no por excedente diario de restaurante</w:t>
            </w:r>
          </w:p>
        </w:tc>
      </w:tr>
    </w:tbl>
    <w:p w:rsidR="000201D5" w:rsidRDefault="000201D5">
      <w:pPr>
        <w:spacing w:after="140" w:line="276" w:lineRule="auto"/>
        <w:jc w:val="both"/>
      </w:pP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Hallazgo central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El espacio de "conectar restaurantes con fundaciones" ya se encuentra ocupado en Colombia por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EatCloud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respaldado por la red nacional de bancos de alimentos ABACO. Plantear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EcoPlato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únicamente como un canal de comunicación no constituiría un aporte difere</w:t>
      </w:r>
      <w:r>
        <w:rPr>
          <w:rFonts w:ascii="Calibri" w:eastAsia="Calibri" w:hAnsi="Calibri" w:cs="Calibri"/>
          <w:b/>
          <w:bCs/>
          <w:sz w:val="22"/>
          <w:szCs w:val="22"/>
        </w:rPr>
        <w:t>ncial.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Reconocer este hallazgo no debilita el proyecto: lo obliga a competir donde efectivamente existe un vacío.</w:t>
      </w: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El vacío identificado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Todas las soluciones revisadas son reactivas. El excedente se publica cuando ya ocurrió, y a partir de ese momento corre</w:t>
      </w:r>
      <w:r>
        <w:rPr>
          <w:rFonts w:ascii="Calibri" w:eastAsia="Calibri" w:hAnsi="Calibri" w:cs="Calibri"/>
          <w:sz w:val="22"/>
          <w:szCs w:val="22"/>
        </w:rPr>
        <w:t xml:space="preserve"> un reloj de </w:t>
      </w:r>
      <w:proofErr w:type="spellStart"/>
      <w:r>
        <w:rPr>
          <w:rFonts w:ascii="Calibri" w:eastAsia="Calibri" w:hAnsi="Calibri" w:cs="Calibri"/>
          <w:sz w:val="22"/>
          <w:szCs w:val="22"/>
        </w:rPr>
        <w:t>perecibilidad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nadie controla. Ninguna anticipa el excedente, ninguna optimiza su asignación bajo restricciones, y ninguna publica su tasa de fracaso.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 xml:space="preserve">4. Aporte diferencial de </w:t>
      </w:r>
      <w:proofErr w:type="spellStart"/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EcoPlato</w:t>
      </w:r>
      <w:proofErr w:type="spellEnd"/>
    </w:p>
    <w:p w:rsidR="000201D5" w:rsidRDefault="000201D5">
      <w:pPr>
        <w:pBdr>
          <w:bottom w:val="single" w:sz="6" w:space="1" w:color="EF6C00"/>
        </w:pBdr>
        <w:spacing w:before="60" w:after="200"/>
      </w:pPr>
    </w:p>
    <w:p w:rsidR="000201D5" w:rsidRDefault="008D25D4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EcoPlato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posiciona como un motor de anticipación y </w:t>
      </w:r>
      <w:r>
        <w:rPr>
          <w:rFonts w:ascii="Calibri" w:eastAsia="Calibri" w:hAnsi="Calibri" w:cs="Calibri"/>
          <w:sz w:val="22"/>
          <w:szCs w:val="22"/>
        </w:rPr>
        <w:t>asignación, no como un tablón de anuncios de excedentes.</w:t>
      </w: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4.1 Pronóstico de excedente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excedente de un restaurante no es aleatorio: responde a patrones de día de la semana, quincena, condiciones climáticas y eventos locales. Con histórico suficiente puede estimarse antes de que ocurra.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Valor: el comedor comunitario planea su menú con ante</w:t>
      </w:r>
      <w:r>
        <w:rPr>
          <w:rFonts w:ascii="Calibri" w:eastAsia="Calibri" w:hAnsi="Calibri" w:cs="Calibri"/>
          <w:b/>
          <w:bCs/>
          <w:sz w:val="22"/>
          <w:szCs w:val="22"/>
        </w:rPr>
        <w:t>lación en lugar de improvisar sobre lo que aparezca.</w:t>
      </w: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4.2 Emparejamiento con restricciones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La asignación no se realiza por orden de llegada, sino considerando la capacidad del comedor, la distancia, la ventana de </w:t>
      </w:r>
      <w:proofErr w:type="spellStart"/>
      <w:r>
        <w:rPr>
          <w:rFonts w:ascii="Calibri" w:eastAsia="Calibri" w:hAnsi="Calibri" w:cs="Calibri"/>
          <w:sz w:val="22"/>
          <w:szCs w:val="22"/>
        </w:rPr>
        <w:t>perecibilidad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tipo de alimento.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Valor: menos alimento perdido en tránsito y menos donaciones que el receptor no puede procesar.</w:t>
      </w: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4.3 Panel de impacto con métricas de fracaso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596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Qué mide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Kilogramos rescatados</w:t>
            </w:r>
          </w:p>
        </w:tc>
        <w:tc>
          <w:tcPr>
            <w:tcW w:w="5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Volumen total de alimento gestionado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Porciones equivalentes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Traducción del volumen a impacto humano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Tasa de emparejamiento</w:t>
            </w:r>
          </w:p>
        </w:tc>
        <w:tc>
          <w:tcPr>
            <w:tcW w:w="5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Porcentaje de excedentes que encontraron destino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Tiempo medio de recogida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Eficiencia logística de la operación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Donaciones no recogidas</w:t>
            </w:r>
          </w:p>
        </w:tc>
        <w:tc>
          <w:tcPr>
            <w:tcW w:w="5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Porcentaje de excedentes publicados que nadie reclamó</w:t>
            </w:r>
          </w:p>
        </w:tc>
      </w:tr>
    </w:tbl>
    <w:p w:rsidR="000201D5" w:rsidRDefault="000201D5">
      <w:pPr>
        <w:spacing w:after="140" w:line="276" w:lineRule="auto"/>
        <w:jc w:val="both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último indicador es deliberado. Ninguna de las plataformas revisadas expone su tasa de fracaso. Medirla es condición necesaria para reducirla, y constituye un compromiso de transparencia que ninguna alternativa asume actualmente.</w:t>
      </w: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Posicionamiento</w:t>
      </w:r>
    </w:p>
    <w:p w:rsidR="000201D5" w:rsidRDefault="008D25D4">
      <w:pPr>
        <w:spacing w:after="140" w:line="276" w:lineRule="auto"/>
        <w:jc w:val="center"/>
      </w:pPr>
      <w:proofErr w:type="spellStart"/>
      <w:r>
        <w:rPr>
          <w:rFonts w:ascii="Calibri" w:eastAsia="Calibri" w:hAnsi="Calibri" w:cs="Calibri"/>
          <w:b/>
          <w:bCs/>
          <w:color w:val="2E7D32"/>
          <w:sz w:val="26"/>
          <w:szCs w:val="26"/>
        </w:rPr>
        <w:t>EcoPla</w:t>
      </w:r>
      <w:r>
        <w:rPr>
          <w:rFonts w:ascii="Calibri" w:eastAsia="Calibri" w:hAnsi="Calibri" w:cs="Calibri"/>
          <w:b/>
          <w:bCs/>
          <w:color w:val="2E7D32"/>
          <w:sz w:val="26"/>
          <w:szCs w:val="26"/>
        </w:rPr>
        <w:t>to</w:t>
      </w:r>
      <w:proofErr w:type="spellEnd"/>
      <w:r>
        <w:rPr>
          <w:rFonts w:ascii="Calibri" w:eastAsia="Calibri" w:hAnsi="Calibri" w:cs="Calibri"/>
          <w:b/>
          <w:bCs/>
          <w:color w:val="2E7D32"/>
          <w:sz w:val="26"/>
          <w:szCs w:val="26"/>
        </w:rPr>
        <w:t xml:space="preserve"> no publica excedentes: los anticipa y los asigna.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5. Alcance por nivel académico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proyecto se construye con las tecnologías que el programa enseña, en el orden en que las enseña. Esta restricción es deliberada y garantiza la viabilidad de cada entreg</w:t>
      </w:r>
      <w:r>
        <w:rPr>
          <w:rFonts w:ascii="Calibri" w:eastAsia="Calibri" w:hAnsi="Calibri" w:cs="Calibri"/>
          <w:sz w:val="22"/>
          <w:szCs w:val="22"/>
        </w:rPr>
        <w:t>a.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556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27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Tecnologías disponibles</w:t>
            </w:r>
          </w:p>
        </w:tc>
        <w:tc>
          <w:tcPr>
            <w:tcW w:w="556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Nivel 1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HTML5</w:t>
            </w:r>
          </w:p>
        </w:tc>
        <w:tc>
          <w:tcPr>
            <w:tcW w:w="5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Prototipo navegable estático: registro de excedente, panel de comedor y panel de impacto con datos de ejemplo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Nivel 2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CSS3, JavaScript,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y base de datos</w:t>
            </w:r>
          </w:p>
        </w:tc>
        <w:tc>
          <w:tcPr>
            <w:tcW w:w="55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Aplicación funcional con registro real, emparejamiento operativo e indicadores calculados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Nivel 3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Frameworks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5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Módulo de pronóstico, optimización de la asignación y despliegue en producción</w:t>
            </w:r>
          </w:p>
        </w:tc>
      </w:tr>
    </w:tbl>
    <w:p w:rsidR="000201D5" w:rsidRDefault="000201D5">
      <w:pPr>
        <w:spacing w:after="140" w:line="276" w:lineRule="auto"/>
        <w:jc w:val="both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Criterio de viabilidad: el prototipo del Nivel 1 debe comunicar la propuesta completa sin necesidad de servidor. Las pantallas estáticas cuentan la historia; los niveles siguientes la hacen funcionar.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6. Identidad de marca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526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15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526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Verde Eco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#2E7D32</w:t>
            </w:r>
          </w:p>
        </w:tc>
        <w:tc>
          <w:tcPr>
            <w:tcW w:w="5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Sustentabilidad, frescura y compromiso ecológico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Naranja Alerta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#EF6C00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Dinamismo, apetito y urgencia de actuar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Blanco Puro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#FFFFFF</w:t>
            </w:r>
          </w:p>
        </w:tc>
        <w:tc>
          <w:tcPr>
            <w:tcW w:w="5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Transparencia, higiene y claridad institucional</w:t>
            </w:r>
          </w:p>
        </w:tc>
      </w:tr>
    </w:tbl>
    <w:p w:rsidR="000201D5" w:rsidRDefault="000201D5">
      <w:pPr>
        <w:spacing w:after="140" w:line="276" w:lineRule="auto"/>
        <w:jc w:val="both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Misión: conectar la industria gastronómica con comunidades vulnerables mediante herramientas tecnológicas que optimicen la redistribución de excedentes alimentarios, reduciendo el hambre y el impacto ambiental.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Visión: ser la plataforma de referencia en ge</w:t>
      </w:r>
      <w:r>
        <w:rPr>
          <w:rFonts w:ascii="Calibri" w:eastAsia="Calibri" w:hAnsi="Calibri" w:cs="Calibri"/>
          <w:sz w:val="22"/>
          <w:szCs w:val="22"/>
        </w:rPr>
        <w:t>stión anticipada de redistribución de alimentos en Colombia hacia el año 2030.</w:t>
      </w: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Valores: solidaridad social, sostenibilidad ambiental, responsabilidad logística y transparencia de impacto, incluida la transparencia sobre los propios fallos del sistema.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7. M</w:t>
      </w: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etodología de trabajo del equipo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equipo adopta un esquema de trabajo colaborativo, con el desarrollo distribuido por componentes y control de versiones centralizado en un repositorio público de GitHub. Cada integrante asume un componente completo y tra</w:t>
      </w:r>
      <w:r>
        <w:rPr>
          <w:rFonts w:ascii="Calibri" w:eastAsia="Calibri" w:hAnsi="Calibri" w:cs="Calibri"/>
          <w:sz w:val="22"/>
          <w:szCs w:val="22"/>
        </w:rPr>
        <w:t>baja sobre archivos independientes, lo que minimiza los conflictos de integración y permite que todos registren avances de forma paralela.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16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Alcance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Pantalla de presentación</w:t>
            </w:r>
          </w:p>
        </w:tc>
        <w:tc>
          <w:tcPr>
            <w:tcW w:w="6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Estructura semántica del sitio, navegación entre pantallas y exposición de la propuesta de valor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Pantalla de registro de excedente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Construcción del formulario con sus campos, etiquetas asociadas y atributos correspondientes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Pantalla de panel de impacto</w:t>
            </w:r>
          </w:p>
        </w:tc>
        <w:tc>
          <w:tcPr>
            <w:tcW w:w="6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Construcción de la tabla de indicadores con encabezados, cuerpo y datos de ejemplo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Elementos comunes y documentación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Encabezado 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pie compartidos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entre pantallas, y elaboración de los documentos de evidencia</w:t>
            </w:r>
          </w:p>
        </w:tc>
      </w:tr>
    </w:tbl>
    <w:p w:rsidR="000201D5" w:rsidRDefault="000201D5">
      <w:pPr>
        <w:spacing w:after="140" w:line="276" w:lineRule="auto"/>
        <w:jc w:val="both"/>
      </w:pPr>
    </w:p>
    <w:p w:rsidR="000201D5" w:rsidRDefault="008D25D4">
      <w:pPr>
        <w:pStyle w:val="Ttulo2"/>
        <w:spacing w:before="220" w:after="120"/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Acuerdos de trabajo</w:t>
      </w: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Las tres pantallas comparten el mismo encabezado y el mismo pie, para garantizar consistencia visual y estructural.</w:t>
      </w: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Cada integrante trabaja sobre su propio archivo, evitando modificaciones simultáneas sobre el mismo documento.</w:t>
      </w: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estándar de estructura sem</w:t>
      </w:r>
      <w:r>
        <w:rPr>
          <w:rFonts w:ascii="Calibri" w:eastAsia="Calibri" w:hAnsi="Calibri" w:cs="Calibri"/>
          <w:sz w:val="22"/>
          <w:szCs w:val="22"/>
        </w:rPr>
        <w:t>ántica se acuerda antes de empezar a construir y se aplica de forma uniforme.</w:t>
      </w: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trabajo se revisa de forma cruzada entre integrantes antes de consolidar la entrega.</w:t>
      </w: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equipo comparte el aprendizaje de las herramientas: quien avanza primero en un tema apo</w:t>
      </w:r>
      <w:r>
        <w:rPr>
          <w:rFonts w:ascii="Calibri" w:eastAsia="Calibri" w:hAnsi="Calibri" w:cs="Calibri"/>
          <w:sz w:val="22"/>
          <w:szCs w:val="22"/>
        </w:rPr>
        <w:t>ya a los demás.</w:t>
      </w:r>
    </w:p>
    <w:p w:rsidR="000201D5" w:rsidRDefault="000201D5">
      <w:pPr>
        <w:spacing w:after="140" w:line="276" w:lineRule="auto"/>
        <w:jc w:val="both"/>
      </w:pPr>
    </w:p>
    <w:p w:rsidR="000201D5" w:rsidRDefault="008D25D4">
      <w:pPr>
        <w:spacing w:after="14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Flujo de trabajo con Git: cada integrante clona el repositorio, trabaja sobre su componente asignado y registra sus avances mediante el ciclo status, </w:t>
      </w:r>
      <w:proofErr w:type="spellStart"/>
      <w:r>
        <w:rPr>
          <w:rFonts w:ascii="Calibri" w:eastAsia="Calibri" w:hAnsi="Calibri" w:cs="Calibri"/>
          <w:sz w:val="22"/>
          <w:szCs w:val="22"/>
        </w:rPr>
        <w:t>add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Los mensajes de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redactan en inglés y en modo imperativo, si</w:t>
      </w:r>
      <w:r>
        <w:rPr>
          <w:rFonts w:ascii="Calibri" w:eastAsia="Calibri" w:hAnsi="Calibri" w:cs="Calibri"/>
          <w:sz w:val="22"/>
          <w:szCs w:val="22"/>
        </w:rPr>
        <w:t>guiendo la convención profesional.</w:t>
      </w:r>
    </w:p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8. Repositorio del proyecto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201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760" w:type="dxa"/>
            <w:shd w:val="clear" w:color="auto" w:fill="2E7D3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Visibilidad</w:t>
            </w:r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Público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Plataforma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GitHub</w:t>
            </w: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0201D5">
            <w:pPr>
              <w:spacing w:line="250" w:lineRule="auto"/>
            </w:pPr>
          </w:p>
        </w:tc>
      </w:tr>
      <w:tr w:rsidR="000201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Número de integrantes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201D5" w:rsidRDefault="008D25D4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</w:tr>
    </w:tbl>
    <w:p w:rsidR="000201D5" w:rsidRDefault="008D25D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2E7D32"/>
          <w:sz w:val="30"/>
          <w:szCs w:val="30"/>
        </w:rPr>
        <w:t>9. Fuentes consultadas</w:t>
      </w:r>
    </w:p>
    <w:p w:rsidR="000201D5" w:rsidRDefault="000201D5">
      <w:pPr>
        <w:pBdr>
          <w:bottom w:val="single" w:sz="6" w:space="1" w:color="EF6C00"/>
        </w:pBdr>
        <w:spacing w:before="60" w:after="200"/>
      </w:pP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Too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Good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toogoodtogo.com</w:t>
      </w: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Olio — referenciada en BBVA, "Las 7 mejores apps para reducir el desperdicio alimentario" (2025)</w:t>
      </w:r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EatCloud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eatcloud.com, términos de uso y aviso de privacidad</w:t>
      </w:r>
      <w:bookmarkStart w:id="0" w:name="_GoBack"/>
      <w:bookmarkEnd w:id="0"/>
    </w:p>
    <w:p w:rsidR="000201D5" w:rsidRDefault="008D25D4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Asociación de Bancos de Alimentos de Colombia, ABACO — abaco.org.co</w:t>
      </w:r>
    </w:p>
    <w:p w:rsidR="000201D5" w:rsidRDefault="008D25D4" w:rsidP="00B33C9B">
      <w:pPr>
        <w:pStyle w:val="Prrafodelista"/>
        <w:numPr>
          <w:ilvl w:val="0"/>
          <w:numId w:val="3"/>
        </w:numPr>
        <w:spacing w:after="9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Banco de Alimentos de Bogotá</w:t>
      </w:r>
      <w:r>
        <w:rPr>
          <w:rFonts w:ascii="Calibri" w:eastAsia="Calibri" w:hAnsi="Calibri" w:cs="Calibri"/>
          <w:sz w:val="22"/>
          <w:szCs w:val="22"/>
        </w:rPr>
        <w:t xml:space="preserve"> — bancodealimentos.org.co</w:t>
      </w:r>
    </w:p>
    <w:sectPr w:rsidR="000201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67BF2"/>
    <w:multiLevelType w:val="hybridMultilevel"/>
    <w:tmpl w:val="8348072C"/>
    <w:lvl w:ilvl="0" w:tplc="81A65878">
      <w:start w:val="1"/>
      <w:numFmt w:val="decimal"/>
      <w:lvlText w:val="%1."/>
      <w:lvlJc w:val="left"/>
      <w:pPr>
        <w:ind w:left="520" w:hanging="260"/>
      </w:pPr>
    </w:lvl>
    <w:lvl w:ilvl="1" w:tplc="7DD48A12">
      <w:numFmt w:val="decimal"/>
      <w:lvlText w:val=""/>
      <w:lvlJc w:val="left"/>
    </w:lvl>
    <w:lvl w:ilvl="2" w:tplc="754ECD52">
      <w:numFmt w:val="decimal"/>
      <w:lvlText w:val=""/>
      <w:lvlJc w:val="left"/>
    </w:lvl>
    <w:lvl w:ilvl="3" w:tplc="40602984">
      <w:numFmt w:val="decimal"/>
      <w:lvlText w:val=""/>
      <w:lvlJc w:val="left"/>
    </w:lvl>
    <w:lvl w:ilvl="4" w:tplc="FB848F00">
      <w:numFmt w:val="decimal"/>
      <w:lvlText w:val=""/>
      <w:lvlJc w:val="left"/>
    </w:lvl>
    <w:lvl w:ilvl="5" w:tplc="97CE6856">
      <w:numFmt w:val="decimal"/>
      <w:lvlText w:val=""/>
      <w:lvlJc w:val="left"/>
    </w:lvl>
    <w:lvl w:ilvl="6" w:tplc="45228060">
      <w:numFmt w:val="decimal"/>
      <w:lvlText w:val=""/>
      <w:lvlJc w:val="left"/>
    </w:lvl>
    <w:lvl w:ilvl="7" w:tplc="77A465A6">
      <w:numFmt w:val="decimal"/>
      <w:lvlText w:val=""/>
      <w:lvlJc w:val="left"/>
    </w:lvl>
    <w:lvl w:ilvl="8" w:tplc="047E9076">
      <w:numFmt w:val="decimal"/>
      <w:lvlText w:val=""/>
      <w:lvlJc w:val="left"/>
    </w:lvl>
  </w:abstractNum>
  <w:abstractNum w:abstractNumId="1" w15:restartNumberingAfterBreak="0">
    <w:nsid w:val="2569710B"/>
    <w:multiLevelType w:val="hybridMultilevel"/>
    <w:tmpl w:val="FFF28728"/>
    <w:lvl w:ilvl="0" w:tplc="71CE50E4">
      <w:start w:val="1"/>
      <w:numFmt w:val="bullet"/>
      <w:lvlText w:val="•"/>
      <w:lvlJc w:val="left"/>
      <w:pPr>
        <w:ind w:left="520" w:hanging="260"/>
      </w:pPr>
    </w:lvl>
    <w:lvl w:ilvl="1" w:tplc="CE1C8412">
      <w:numFmt w:val="decimal"/>
      <w:lvlText w:val=""/>
      <w:lvlJc w:val="left"/>
    </w:lvl>
    <w:lvl w:ilvl="2" w:tplc="1D965EC6">
      <w:numFmt w:val="decimal"/>
      <w:lvlText w:val=""/>
      <w:lvlJc w:val="left"/>
    </w:lvl>
    <w:lvl w:ilvl="3" w:tplc="5AAE3DD0">
      <w:numFmt w:val="decimal"/>
      <w:lvlText w:val=""/>
      <w:lvlJc w:val="left"/>
    </w:lvl>
    <w:lvl w:ilvl="4" w:tplc="DC2AB8B6">
      <w:numFmt w:val="decimal"/>
      <w:lvlText w:val=""/>
      <w:lvlJc w:val="left"/>
    </w:lvl>
    <w:lvl w:ilvl="5" w:tplc="BA98128C">
      <w:numFmt w:val="decimal"/>
      <w:lvlText w:val=""/>
      <w:lvlJc w:val="left"/>
    </w:lvl>
    <w:lvl w:ilvl="6" w:tplc="F20E8274">
      <w:numFmt w:val="decimal"/>
      <w:lvlText w:val=""/>
      <w:lvlJc w:val="left"/>
    </w:lvl>
    <w:lvl w:ilvl="7" w:tplc="44FCD5BC">
      <w:numFmt w:val="decimal"/>
      <w:lvlText w:val=""/>
      <w:lvlJc w:val="left"/>
    </w:lvl>
    <w:lvl w:ilvl="8" w:tplc="117C16C8">
      <w:numFmt w:val="decimal"/>
      <w:lvlText w:val=""/>
      <w:lvlJc w:val="left"/>
    </w:lvl>
  </w:abstractNum>
  <w:abstractNum w:abstractNumId="2" w15:restartNumberingAfterBreak="0">
    <w:nsid w:val="60AE391B"/>
    <w:multiLevelType w:val="hybridMultilevel"/>
    <w:tmpl w:val="20C0A802"/>
    <w:lvl w:ilvl="0" w:tplc="C8D63848">
      <w:start w:val="1"/>
      <w:numFmt w:val="bullet"/>
      <w:lvlText w:val="●"/>
      <w:lvlJc w:val="left"/>
      <w:pPr>
        <w:ind w:left="720" w:hanging="360"/>
      </w:pPr>
    </w:lvl>
    <w:lvl w:ilvl="1" w:tplc="6C160050">
      <w:start w:val="1"/>
      <w:numFmt w:val="bullet"/>
      <w:lvlText w:val="○"/>
      <w:lvlJc w:val="left"/>
      <w:pPr>
        <w:ind w:left="1440" w:hanging="360"/>
      </w:pPr>
    </w:lvl>
    <w:lvl w:ilvl="2" w:tplc="70500F5A">
      <w:start w:val="1"/>
      <w:numFmt w:val="bullet"/>
      <w:lvlText w:val="■"/>
      <w:lvlJc w:val="left"/>
      <w:pPr>
        <w:ind w:left="2160" w:hanging="360"/>
      </w:pPr>
    </w:lvl>
    <w:lvl w:ilvl="3" w:tplc="393E65BA">
      <w:start w:val="1"/>
      <w:numFmt w:val="bullet"/>
      <w:lvlText w:val="●"/>
      <w:lvlJc w:val="left"/>
      <w:pPr>
        <w:ind w:left="2880" w:hanging="360"/>
      </w:pPr>
    </w:lvl>
    <w:lvl w:ilvl="4" w:tplc="28BE76AE">
      <w:start w:val="1"/>
      <w:numFmt w:val="bullet"/>
      <w:lvlText w:val="○"/>
      <w:lvlJc w:val="left"/>
      <w:pPr>
        <w:ind w:left="3600" w:hanging="360"/>
      </w:pPr>
    </w:lvl>
    <w:lvl w:ilvl="5" w:tplc="88464864">
      <w:start w:val="1"/>
      <w:numFmt w:val="bullet"/>
      <w:lvlText w:val="■"/>
      <w:lvlJc w:val="left"/>
      <w:pPr>
        <w:ind w:left="4320" w:hanging="360"/>
      </w:pPr>
    </w:lvl>
    <w:lvl w:ilvl="6" w:tplc="82C41586">
      <w:start w:val="1"/>
      <w:numFmt w:val="bullet"/>
      <w:lvlText w:val="●"/>
      <w:lvlJc w:val="left"/>
      <w:pPr>
        <w:ind w:left="5040" w:hanging="360"/>
      </w:pPr>
    </w:lvl>
    <w:lvl w:ilvl="7" w:tplc="22F8F3C2">
      <w:start w:val="1"/>
      <w:numFmt w:val="bullet"/>
      <w:lvlText w:val="●"/>
      <w:lvlJc w:val="left"/>
      <w:pPr>
        <w:ind w:left="5760" w:hanging="360"/>
      </w:pPr>
    </w:lvl>
    <w:lvl w:ilvl="8" w:tplc="0D283C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D5"/>
    <w:rsid w:val="000201D5"/>
    <w:rsid w:val="008D25D4"/>
    <w:rsid w:val="00B3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DC601"/>
  <w15:docId w15:val="{D8B8B7AB-AB21-416D-907A-797FA086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1438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EcoPlato - Documento de Formulacion</dc:title>
  <dc:creator>Equipo EcoPlato</dc:creator>
  <cp:lastModifiedBy>Andres Mauricio Jimenez Rodriguez</cp:lastModifiedBy>
  <cp:revision>3</cp:revision>
  <dcterms:created xsi:type="dcterms:W3CDTF">2026-08-08T18:18:00Z</dcterms:created>
  <dcterms:modified xsi:type="dcterms:W3CDTF">2026-08-08T18:41:00Z</dcterms:modified>
</cp:coreProperties>
</file>