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CÓMO CONSTRUIR EL GRÁFICO ASCII (tendencia) — pasos OBLIGATORIOS para que salga LEGIBLE (el gráfico importa; si no puede salir bien inline, OFRÉCELO y constrúyelo bien al pedirlo): 1) COMPONENTE = el MÁS RELEVANTE = el de valores más altos / con críticos (EsRelevante=1). ⛔ NUNCA grafiques un componente plano en ~0 (ej.: Cu del CA3165 → grafica el MOTOR 4.0→6.8, ⛔ NO MT LH ~0.2). 2) EJE Y = el VALOR del metal (⛔ NO el nº de muestra): toma ~6 niveles entre 0 y un poco por encima del máximo (y por encima de LC); cada muestra es un punto en la FILA del nivel más cercano a su valor (un valor 6.8 va arriba, un 0.6 va abajo). 3) EJE X = las fechas en orden cronológico izq→der, una columna por muestra. 4) LP y LC = líneas horizontales punteadas en su nivel Y, rotuladas «LP»/«LC» a la derecha. 5) UNA sola serie (un componente), ancho compacto, encabezado «&lt;Metal&gt; (&lt;Comp&gt;) — ppm». El gráfico aplica en PASO 2 de tendencia y cuando pidan «gráfico» en tendencia de un metal (del componente relevante). Sigue el modelo ASCII de arriba (valor en Y, fechas en X, líneas LP/LC).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