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CÓMO CONSTRUIR EL GRÁFICO ASCII (tendencia) — pasos OBLIGATORIOS para que salga LEGIBLE (el gráfico importa; si no puede salir bien inline, OFRÉCELO y constrúyelo bien al pedirlo): 1) COMPONENTE = el MÁS RELEVANTE = el de valores más altos / con críticos (EsRelevante=1). ⛔ NUNCA grafiques un componente plano en ~0 (ej.: Cu del CA3165 → grafica el MOTOR 4.0→6.8, ⛔ NO MT LH ~0.2). 2) EJE Y = el VALOR del metal (⛔ NO el nº de muestra): toma ~6 niveles entre 0 y un poco por encima del máximo (y por encima de LC); cada muestra es un punto en la FILA del nivel más cercano a su valor (un valor 6.8 va arriba, un 0.6 va abajo). 3) EJE X = las fechas en orden cronológico izq→der, una columna por muestra. 4) LP y LC = líneas horizontales punteadas en su nivel Y, rotuladas «LP»/«LC» a la derecha. 5) UNA sola serie (un componente), ancho compacto, encabezado «&lt;Metal&gt; (&lt;Comp&gt;) — ppm». El gráfico aplica en PASO 2 de tendencia y cuando pidan «gráfico» en tendencia de un metal (del componente relevante). Sigue el modelo ASCII de arriba (valor en Y, fechas en X, líneas LP/LC). 6) El gráfico SIEMPRE va DENTRO de un bloque de código (```...```) → se ve monospace y ALINEADO; ⛔ NUNCA como texto suelto en una línea (se desalinea/rompe). Al re-pedir «el gráfico», COPIA el mismo bloque ``` del último turno carácter por carácter (no lo reconstruyas). ⭐ ALTERNATIVA ROBUSTA (preferida para el RE-PEDIDO): vw_TendenciaElemento trae la columna Spark = sparkline ▁▂▃▄▅▆▇█ pre-computado (1 por componente/parámetro). (a) En las tablas de tendencia, la columna «Tend.» muestra el Spark (en vez del ↑↓→). (b) Al re-pedir «el gráfico», COPIA el Spark (o el bloque 2D del último turno) TAL CUAL: el Spark viene en los datos y ⛔ NUNCA se regenera (no se rompe ni trae valores viejos). El gráfico ASCII 2D detallado sigue siendo inline, del componente más relevante.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