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KomfIA — Plan de Evolución</w:t>
      </w:r>
    </w:p>
    <w:p>
      <w:pPr>
        <w:jc w:val="center"/>
      </w:pPr>
      <w:r>
        <w:rPr>
          <w:color w:val="2E74B5"/>
          <w:sz w:val="28"/>
        </w:rPr>
        <w:t>Pivote a Arquitectura Multiagente (Opus genera SQL)</w:t>
      </w:r>
    </w:p>
    <w:p>
      <w:pPr>
        <w:jc w:val="center"/>
      </w:pPr>
      <w:r>
        <w:rPr>
          <w:color w:val="404040"/>
          <w:sz w:val="22"/>
        </w:rPr>
        <w:t>Komatsu Mitsui Maquinarias Perú S.A. — Área OIS</w:t>
      </w:r>
    </w:p>
    <w:p/>
    <w:p>
      <w:pPr>
        <w:pBdr>
          <w:bottom w:val="single" w:sz="6" w:space="1" w:color="2E74B5"/>
        </w:pBdr>
        <w:spacing w:before="80"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color w:val="1F497D"/>
          <w:sz w:val="32"/>
        </w:rPr>
        <w:t>Plan de evolución KomfIA — Pivote a multiagente (sub-agente genera SQL)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ESTADO (2026-06-06): ✅ VARIANTE B IMPLEMENTADA Y VALIDADA EN PRODUCCIÓN para Motor de Tracción.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Sub-agente "KomfIA SQL" (Claude Sonnet 4.6) genera el SQL → flujo TEST SQL V2 ejecuta directo en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Azure → KomfIA Central presenta + recomendaciones (Knowledge). Validación cruzada contra BD (SSMS):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Antapaccay triage=7 (exacto), universo=54; Cerro Verde=108 tras corregir el TOP del triage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(TOP 100 truncaba → ahora TOP 500). Instrucciones &lt;8000 con datos movidos a Conocimientos.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Artefactos vivos en docs/copilot/ (KomfIA_central_slim.md, KomfIA_SQL_slim.md, knowledge/*.docx).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Pendiente: escalar a otros componentes (textos de recomendación del área) y corregir Pb LP/LC de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Cerro Verde en [Eqpcare].[lc]. El backend Python queda RETIRABLE (no participa en Ruta A).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Documento de decisión arquitectónica. Fecha: 2026-06-05.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Contexto: tras múltiples iteraciones de parches sobre la capa de heurísticas regex,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los fallos persisten (ver auditoría). La causa raíz no es código mal escrito, sino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una arquitectura que depende de (a) ~25 regex frágiles y (b) Gemini Flash haciendo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dos trabajos para los que es débil: generar SQL e interpretar/renderizar.</w:t>
      </w:r>
    </w:p>
    <w:p>
      <w:pPr>
        <w:pBdr>
          <w:bottom w:val="single" w:sz="6" w:space="1" w:color="2E74B5"/>
        </w:pBdr>
        <w:spacing w:before="80" w:after="80"/>
      </w:pPr>
    </w:p>
    <w:p>
      <w:pPr>
        <w:pStyle w:val="Heading2"/>
        <w:spacing w:before="200" w:after="80"/>
      </w:pPr>
      <w:r>
        <w:rPr>
          <w:color w:val="2E74B5"/>
          <w:sz w:val="26"/>
        </w:rPr>
        <w:t>1. Diagnóstico (por qué los parches no convergen)</w:t>
      </w:r>
    </w:p>
    <w:p>
      <w:pPr>
        <w:spacing w:before="40" w:after="60"/>
      </w:pPr>
      <w:r>
        <w:t xml:space="preserve">Los tres bugs reportados el 05/06 son </w:t>
      </w:r>
      <w:r>
        <w:rPr>
          <w:b/>
        </w:rPr>
        <w:t>el mismo bug</w:t>
      </w:r>
      <w:r>
        <w:t xml:space="preserve"> con tres caras: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Síntoma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Causa raíz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"tendencia del MT RH" → 24 meses de promedios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"MT RH" no matcheaba el regex → fallback al LLM con hint de AVG mensual (contradictorio con el path directo)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Cr=3.95 (&gt;LC=3) no alertado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Copilot-Flash interpretó "Alerta MT: Fe y PQ primero" como "solo mira Fe"; además leyó el campo Condicion en vez de comparar LP/LC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Recomendaciones no salen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backend SÍ las genera en </w:t>
            </w:r>
            <w:r>
              <w:rPr>
                <w:rFonts w:ascii="Courier New" w:hAnsi="Courier New"/>
                <w:color w:val="A03030"/>
                <w:sz w:val="19"/>
              </w:rPr>
              <w:t>analisis.recomendaciones_mt</w:t>
            </w:r>
            <w:r>
              <w:rPr>
                <w:sz w:val="19"/>
              </w:rPr>
              <w:t>; Copilot-Flash las descarta pese a la instrucción</w:t>
            </w:r>
          </w:p>
        </w:tc>
      </w:tr>
    </w:tbl>
    <w:p/>
    <w:p>
      <w:pPr>
        <w:spacing w:before="40" w:after="60"/>
      </w:pPr>
      <w:r>
        <w:rPr>
          <w:b/>
        </w:rPr>
        <w:t>Patrón común:</w:t>
      </w:r>
      <w:r>
        <w:t xml:space="preserve"> cada frase nueva ("MT RH" vs "motor de tracción", con/sin tildes) es un</w:t>
      </w:r>
    </w:p>
    <w:p>
      <w:pPr>
        <w:spacing w:before="40" w:after="60"/>
      </w:pPr>
      <w:r>
        <w:t>regex nuevo = cola infinita de bugs. Y aunque el path acierte, el Flash de Copilot arruina</w:t>
      </w:r>
    </w:p>
    <w:p>
      <w:pPr>
        <w:spacing w:before="40" w:after="60"/>
      </w:pPr>
      <w:r>
        <w:t>la interpretación. Se está peleando contra el modelo, no contra el código.</w:t>
      </w:r>
    </w:p>
    <w:p>
      <w:pPr>
        <w:pBdr>
          <w:bottom w:val="single" w:sz="6" w:space="1" w:color="2E74B5"/>
        </w:pBdr>
        <w:spacing w:before="80" w:after="80"/>
      </w:pPr>
    </w:p>
    <w:p>
      <w:pPr>
        <w:pStyle w:val="Heading2"/>
        <w:spacing w:before="200" w:after="80"/>
      </w:pPr>
      <w:r>
        <w:rPr>
          <w:color w:val="2E74B5"/>
          <w:sz w:val="26"/>
        </w:rPr>
        <w:t>2. Qué CONSERVAR (funciona y es valioso)</w:t>
      </w:r>
    </w:p>
    <w:p>
      <w:pPr>
        <w:spacing w:before="40" w:after="60"/>
      </w:pPr>
      <w:r>
        <w:t xml:space="preserve">Estas piezas son determinísticas, rápidas y correctas. </w:t>
      </w:r>
      <w:r>
        <w:rPr>
          <w:b/>
        </w:rPr>
        <w:t>No se tocan en el pivote: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rFonts w:ascii="Courier New" w:hAnsi="Courier New"/>
          <w:color w:val="A03030"/>
          <w:sz w:val="19"/>
        </w:rPr>
        <w:t>src/database.py</w:t>
      </w:r>
      <w:r>
        <w:t xml:space="preserve"> — validación de seguridad SQL (solo SELECT/CTE, allowlist, MAX_ROWS), ejecución, timeout anyio.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rFonts w:ascii="Courier New" w:hAnsi="Courier New"/>
          <w:color w:val="A03030"/>
          <w:sz w:val="19"/>
        </w:rPr>
        <w:t>src/analitica.py</w:t>
      </w:r>
      <w:r>
        <w:t xml:space="preserve"> — métricas, </w:t>
      </w:r>
      <w:r>
        <w:rPr>
          <w:rFonts w:ascii="Courier New" w:hAnsi="Courier New"/>
          <w:color w:val="A03030"/>
          <w:sz w:val="19"/>
        </w:rPr>
        <w:t>limites_referencia</w:t>
      </w:r>
      <w:r>
        <w:t xml:space="preserve">, </w:t>
      </w:r>
      <w:r>
        <w:rPr>
          <w:rFonts w:ascii="Courier New" w:hAnsi="Courier New"/>
          <w:color w:val="A03030"/>
          <w:sz w:val="19"/>
        </w:rPr>
        <w:t>_recomendaciones_mt</w:t>
      </w:r>
      <w:r>
        <w:t xml:space="preserve"> (fuente única determinística de recomendaciones).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Conocimiento de dominio: patrón </w:t>
      </w:r>
      <w:r>
        <w:rPr>
          <w:b/>
        </w:rPr>
        <w:t>CROSS JOIN LimitesLC</w:t>
      </w:r>
      <w:r>
        <w:t xml:space="preserve"> con </w:t>
      </w:r>
      <w:r>
        <w:rPr>
          <w:rFonts w:ascii="Courier New" w:hAnsi="Courier New"/>
          <w:color w:val="A03030"/>
          <w:sz w:val="19"/>
        </w:rPr>
        <w:t>ISNULL(LP, fallback)</w:t>
      </w:r>
      <w:r>
        <w:t>, exclusión DDI, fallback Fe LP por proyecto.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Warmup de cold-start, gestión de contexto conversacional con TTL.</w:t>
      </w:r>
    </w:p>
    <w:p>
      <w:pPr>
        <w:pStyle w:val="Heading2"/>
        <w:spacing w:before="200" w:after="80"/>
      </w:pPr>
      <w:r>
        <w:rPr>
          <w:color w:val="2E74B5"/>
          <w:sz w:val="26"/>
        </w:rPr>
        <w:t>3. Qué RETIRAR (la fuente de fragilidad)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La capa de heurísticas regex de </w:t>
      </w:r>
      <w:r>
        <w:rPr>
          <w:rFonts w:ascii="Courier New" w:hAnsi="Courier New"/>
          <w:color w:val="A03030"/>
          <w:sz w:val="19"/>
        </w:rPr>
        <w:t>src/llm.py</w:t>
      </w:r>
      <w:r>
        <w:t xml:space="preserve"> (~25 </w:t>
      </w:r>
      <w:r>
        <w:rPr>
          <w:rFonts w:ascii="Courier New" w:hAnsi="Courier New"/>
          <w:color w:val="A03030"/>
          <w:sz w:val="19"/>
        </w:rPr>
        <w:t>_RE_PISTA_*</w:t>
      </w:r>
      <w:r>
        <w:t xml:space="preserve">, ~18 </w:t>
      </w:r>
      <w:r>
        <w:rPr>
          <w:rFonts w:ascii="Courier New" w:hAnsi="Courier New"/>
          <w:color w:val="A03030"/>
          <w:sz w:val="19"/>
        </w:rPr>
        <w:t>_es_intencion_*</w:t>
      </w:r>
      <w:r>
        <w:t>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Los generadores de SQL en Python (</w:t>
      </w:r>
      <w:r>
        <w:rPr>
          <w:rFonts w:ascii="Courier New" w:hAnsi="Courier New"/>
          <w:color w:val="A03030"/>
          <w:sz w:val="19"/>
        </w:rPr>
        <w:t>intentar_*_directo</w:t>
      </w:r>
      <w:r>
        <w:t>) — útiles como *fallback rápido* opcional, pero ya no como el camino principal.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La dependencia de Gemini Flash para generar SQL e interpretar.</w:t>
      </w:r>
    </w:p>
    <w:p>
      <w:pPr>
        <w:pBdr>
          <w:bottom w:val="single" w:sz="6" w:space="1" w:color="2E74B5"/>
        </w:pBdr>
        <w:spacing w:before="80" w:after="80"/>
      </w:pPr>
    </w:p>
    <w:p>
      <w:pPr>
        <w:pStyle w:val="Heading2"/>
        <w:spacing w:before="200" w:after="80"/>
      </w:pPr>
      <w:r>
        <w:rPr>
          <w:color w:val="2E74B5"/>
          <w:sz w:val="26"/>
        </w:rPr>
        <w:t>4. Arquitectura objetivo</w:t>
      </w:r>
    </w:p>
    <w:p>
      <w:pPr>
        <w:spacing w:before="40" w:after="60"/>
      </w:pPr>
      <w:r>
        <w:t xml:space="preserve">Dos variantes. Recomendación: </w:t>
      </w:r>
      <w:r>
        <w:rPr>
          <w:b/>
        </w:rPr>
        <w:t>B</w:t>
      </w:r>
      <w:r>
        <w:t xml:space="preserve"> si solo hay acceso a Opus dentro de Copilot Studio;</w:t>
      </w:r>
    </w:p>
    <w:p>
      <w:pPr>
        <w:spacing w:before="40" w:after="60"/>
      </w:pPr>
      <w:r>
        <w:rPr>
          <w:b/>
        </w:rPr>
        <w:t>A</w:t>
      </w:r>
      <w:r>
        <w:t xml:space="preserve"> si se consigue API key de un modelo fuerte para el backend.</w:t>
      </w:r>
    </w:p>
    <w:p>
      <w:pPr>
        <w:pStyle w:val="Heading3"/>
        <w:spacing w:before="120" w:after="80"/>
      </w:pPr>
      <w:r>
        <w:rPr>
          <w:color w:val="24639E"/>
          <w:sz w:val="23"/>
        </w:rPr>
        <w:t>Variante A — Backend con modelo fuerte (un solo endpoint)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Usuario (Teams/Copilot)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→ /human_query (backend FastAPI)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→ Opus/Sonnet vía API genera SQL (reemplaza Gemini Flash + heurísticas)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→ database.py valida y ejecuta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→ analitica.py enriquece (límites + recomendaciones determinísticas)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→ respuesta JSON</w:t>
      </w:r>
    </w:p>
    <w:p/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Pro:</w:t>
      </w:r>
      <w:r>
        <w:t xml:space="preserve"> toda la lógica server-side, un solo lugar, recomendaciones determinísticas garantizadas.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Contra:</w:t>
      </w:r>
      <w:r>
        <w:t xml:space="preserve"> requiere API key de Opus/Sonnet para el backend (hoy solo hay Gemini).</w:t>
      </w:r>
    </w:p>
    <w:p>
      <w:pPr>
        <w:pStyle w:val="Heading3"/>
        <w:spacing w:before="120" w:after="80"/>
      </w:pPr>
      <w:r>
        <w:rPr>
          <w:color w:val="24639E"/>
          <w:sz w:val="23"/>
        </w:rPr>
        <w:t>Variante B — Multiagente en Copilot Studio (tu idea)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Agente KomfIA (orquestador, instrucción de dominio + formato)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→ Sub-agente "SQL-Gen" (Opus) genera el SQL desde la pregunta + esquema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→ Herramienta TEST-SQL-V2 (backend /sql) valida y ejecuta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→ analitica.py enriquece → KomfIA formatea la respuesta</w:t>
      </w:r>
    </w:p>
    <w:p/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Pro:</w:t>
      </w:r>
      <w:r>
        <w:t xml:space="preserve"> usa el Opus que YA tienes en Copilot Studio; el backend queda como ejecutor seguro (lo que mejor funciona hoy: TEST SQL V2 ya lo demostró).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Contra:</w:t>
      </w:r>
      <w:r>
        <w:t xml:space="preserve"> lógica repartida entre config de Copilot y backend; vigilar timeout 240s (Opus SQL-gen ~6-8s + ejecución ~10s = holgado).</w:t>
      </w:r>
    </w:p>
    <w:p>
      <w:pPr>
        <w:pBdr>
          <w:bottom w:val="single" w:sz="6" w:space="1" w:color="2E74B5"/>
        </w:pBdr>
        <w:spacing w:before="80" w:after="80"/>
      </w:pPr>
    </w:p>
    <w:p>
      <w:pPr>
        <w:pStyle w:val="Heading2"/>
        <w:spacing w:before="200" w:after="80"/>
      </w:pPr>
      <w:r>
        <w:rPr>
          <w:color w:val="2E74B5"/>
          <w:sz w:val="26"/>
        </w:rPr>
        <w:t>5. El esquema y reglas de dominio que el agente SQL-Gen necesita (system prompt)</w:t>
      </w:r>
    </w:p>
    <w:p>
      <w:pPr>
        <w:spacing w:before="40" w:after="60"/>
      </w:pPr>
      <w:r>
        <w:t xml:space="preserve">Ya está casi todo escrito en la </w:t>
      </w:r>
      <w:r>
        <w:rPr>
          <w:b/>
        </w:rPr>
        <w:t>Instrucción 2 (TEST SQL V2)</w:t>
      </w:r>
      <w:r>
        <w:t xml:space="preserve"> del </w:t>
      </w:r>
      <w:r>
        <w:rPr>
          <w:rFonts w:ascii="Courier New" w:hAnsi="Courier New"/>
          <w:color w:val="A03030"/>
          <w:sz w:val="19"/>
        </w:rPr>
        <w:t>.docx</w:t>
      </w:r>
      <w:r>
        <w:t>. Ese prompt</w:t>
      </w:r>
    </w:p>
    <w:p>
      <w:pPr>
        <w:spacing w:before="40" w:after="60"/>
      </w:pPr>
      <w:r>
        <w:t>es el núcleo reutilizable. Puntos críticos que DEBE incluir: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Esquema: </w:t>
      </w:r>
      <w:r>
        <w:rPr>
          <w:rFonts w:ascii="Courier New" w:hAnsi="Courier New"/>
          <w:color w:val="A03030"/>
          <w:sz w:val="19"/>
        </w:rPr>
        <w:t>[Oil].[LaboratoryData]</w:t>
      </w:r>
      <w:r>
        <w:t xml:space="preserve">, </w:t>
      </w:r>
      <w:r>
        <w:rPr>
          <w:rFonts w:ascii="Courier New" w:hAnsi="Courier New"/>
          <w:color w:val="A03030"/>
          <w:sz w:val="19"/>
        </w:rPr>
        <w:t>[Mine].[MiningEquipment/MiningProject/EquipmentFleet]</w:t>
      </w:r>
      <w:r>
        <w:t xml:space="preserve">, </w:t>
      </w:r>
      <w:r>
        <w:rPr>
          <w:rFonts w:ascii="Courier New" w:hAnsi="Courier New"/>
          <w:color w:val="A03030"/>
          <w:sz w:val="19"/>
        </w:rPr>
        <w:t>[Eqpcare].[lc]</w:t>
      </w:r>
      <w:r>
        <w:t>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Columnas inexistentes prohibidas:</w:t>
      </w:r>
      <w:r>
        <w:t xml:space="preserve"> </w:t>
      </w:r>
      <w:r>
        <w:rPr>
          <w:rFonts w:ascii="Courier New" w:hAnsi="Courier New"/>
          <w:color w:val="A03030"/>
          <w:sz w:val="19"/>
        </w:rPr>
        <w:t>EquipmentCode</w:t>
      </w:r>
      <w:r>
        <w:t xml:space="preserve">, </w:t>
      </w:r>
      <w:r>
        <w:rPr>
          <w:rFonts w:ascii="Courier New" w:hAnsi="Courier New"/>
          <w:color w:val="A03030"/>
          <w:sz w:val="19"/>
        </w:rPr>
        <w:t>EquipmentId</w:t>
      </w:r>
      <w:r>
        <w:t xml:space="preserve"> (usar </w:t>
      </w:r>
      <w:r>
        <w:rPr>
          <w:rFonts w:ascii="Courier New" w:hAnsi="Courier New"/>
          <w:color w:val="A03030"/>
          <w:sz w:val="19"/>
        </w:rPr>
        <w:t>ME.[Code]</w:t>
      </w:r>
      <w:r>
        <w:t xml:space="preserve">, </w:t>
      </w:r>
      <w:r>
        <w:rPr>
          <w:rFonts w:ascii="Courier New" w:hAnsi="Courier New"/>
          <w:color w:val="A03030"/>
          <w:sz w:val="19"/>
        </w:rPr>
        <w:t>ME.[Id]</w:t>
      </w:r>
      <w:r>
        <w:t>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Compartimiento por LIKE keyword corto: </w:t>
      </w:r>
      <w:r>
        <w:rPr>
          <w:rFonts w:ascii="Courier New" w:hAnsi="Courier New"/>
          <w:color w:val="A03030"/>
          <w:sz w:val="19"/>
        </w:rPr>
        <w:t>%TRACCION%</w:t>
      </w:r>
      <w:r>
        <w:t xml:space="preserve">, </w:t>
      </w:r>
      <w:r>
        <w:rPr>
          <w:rFonts w:ascii="Courier New" w:hAnsi="Courier New"/>
          <w:color w:val="A03030"/>
          <w:sz w:val="19"/>
        </w:rPr>
        <w:t>%HIDRAUL%</w:t>
      </w:r>
      <w:r>
        <w:t xml:space="preserve">, </w:t>
      </w:r>
      <w:r>
        <w:rPr>
          <w:rFonts w:ascii="Courier New" w:hAnsi="Courier New"/>
          <w:color w:val="A03030"/>
          <w:sz w:val="19"/>
        </w:rPr>
        <w:t>%RUEDA%</w:t>
      </w:r>
      <w:r>
        <w:t xml:space="preserve"> (nunca frase con "DE").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Último análisis: </w:t>
      </w:r>
      <w:r>
        <w:rPr>
          <w:rFonts w:ascii="Courier New" w:hAnsi="Courier New"/>
          <w:color w:val="A03030"/>
          <w:sz w:val="19"/>
        </w:rPr>
        <w:t>ROW_NUMBER() PARTITION BY MiningEquipmentId,Compartimiento ORDER BY FechaMuestreo DESC → rn=1</w:t>
      </w:r>
      <w:r>
        <w:t>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Triage/estado: comparar metales vs </w:t>
      </w:r>
      <w:r>
        <w:rPr>
          <w:rFonts w:ascii="Courier New" w:hAnsi="Courier New"/>
          <w:color w:val="A03030"/>
          <w:sz w:val="19"/>
        </w:rPr>
        <w:t>[Eqpcare].[lc]</w:t>
      </w:r>
      <w:r>
        <w:t xml:space="preserve"> con </w:t>
      </w:r>
      <w:r>
        <w:rPr>
          <w:rFonts w:ascii="Courier New" w:hAnsi="Courier New"/>
          <w:color w:val="A03030"/>
          <w:sz w:val="19"/>
        </w:rPr>
        <w:t>ISNULL(LP, fallback)</w:t>
      </w:r>
      <w:r>
        <w:t xml:space="preserve">; </w:t>
      </w:r>
      <w:r>
        <w:rPr>
          <w:b/>
        </w:rPr>
        <w:t>CROSS JOIN</w:t>
      </w:r>
      <w:r>
        <w:t xml:space="preserve"> (no LEFT JOIN exact-match).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TBN invertido: bajo TBN = malo (</w:t>
      </w:r>
      <w:r>
        <w:rPr>
          <w:rFonts w:ascii="Courier New" w:hAnsi="Courier New"/>
          <w:color w:val="A03030"/>
          <w:sz w:val="19"/>
        </w:rPr>
        <w:t>&lt; LP</w:t>
      </w:r>
      <w:r>
        <w:t>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Excluir DDI/DIALIZADO en triage/tendencia/ranking; incluir en historial.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Tendencia default = últimas 8 muestras individuales; mensual solo si lo piden.</w:t>
      </w:r>
    </w:p>
    <w:p>
      <w:pPr>
        <w:pStyle w:val="Heading2"/>
        <w:spacing w:before="200" w:after="80"/>
      </w:pPr>
      <w:r>
        <w:rPr>
          <w:color w:val="2E74B5"/>
          <w:sz w:val="26"/>
        </w:rPr>
        <w:t>6. Interpretación y recomendaciones (independiente del modelo)</w:t>
      </w:r>
    </w:p>
    <w:p>
      <w:pPr>
        <w:spacing w:before="40" w:after="60"/>
      </w:pPr>
      <w:r>
        <w:t xml:space="preserve">Mantener </w:t>
      </w:r>
      <w:r>
        <w:rPr>
          <w:rFonts w:ascii="Courier New" w:hAnsi="Courier New"/>
          <w:color w:val="A03030"/>
          <w:sz w:val="19"/>
        </w:rPr>
        <w:t>analitica.py</w:t>
      </w:r>
      <w:r>
        <w:t xml:space="preserve"> como </w:t>
      </w:r>
      <w:r>
        <w:rPr>
          <w:b/>
        </w:rPr>
        <w:t>fuente única determinística</w:t>
      </w:r>
      <w:r>
        <w:t>: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Estado por metal = comparación matemática vs LP/LC (NUNCA el campo Condicion).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Recomendaciones técnicas: tabla fija por metal (las de las imágenes), agrupando metales con</w:t>
      </w:r>
    </w:p>
    <w:p>
      <w:pPr>
        <w:spacing w:before="40" w:after="60"/>
      </w:pPr>
      <w:r>
        <w:t xml:space="preserve">cuerpo idéntico (Fe+PQ, Pb+Sn). Ya implementado en </w:t>
      </w:r>
      <w:r>
        <w:rPr>
          <w:rFonts w:ascii="Courier New" w:hAnsi="Courier New"/>
          <w:color w:val="A03030"/>
          <w:sz w:val="19"/>
        </w:rPr>
        <w:t>_recomendaciones_mt</w:t>
      </w:r>
      <w:r>
        <w:t>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Pendiente:</w:t>
      </w:r>
      <w:r>
        <w:t xml:space="preserve"> textos de recomendación para componentes no-MT (Hidráulico, Rueda, Motor)</w:t>
      </w:r>
    </w:p>
    <w:p>
      <w:pPr>
        <w:spacing w:before="40" w:after="60"/>
      </w:pPr>
      <w:r>
        <w:t>— hoy solo existe el cuerpo de Motor de Tracción. Requiere que el área entregue esos textos.</w:t>
      </w:r>
    </w:p>
    <w:p>
      <w:pPr>
        <w:pStyle w:val="Heading2"/>
        <w:spacing w:before="200" w:after="80"/>
      </w:pPr>
      <w:r>
        <w:rPr>
          <w:color w:val="2E74B5"/>
          <w:sz w:val="26"/>
        </w:rPr>
        <w:t>7. Pasos concretos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b/>
          <w:i/>
        </w:rPr>
        <w:t>DECISIÓN (2026-06-05): Variante B.</w:t>
      </w:r>
      <w:r>
        <w:rPr>
          <w:i/>
        </w:rPr>
        <w:t xml:space="preserve"> El usuario NO tiene API key de Opus/Sonnet para el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backend, solo acceso a esos modelos dentro de Copilot Studio. Por tanto el camino es el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 xml:space="preserve">sub-agente Opus en Copilot que genera SQL y lo pasa al backend </w:t>
      </w:r>
      <w:r>
        <w:rPr>
          <w:rFonts w:ascii="Courier New" w:hAnsi="Courier New"/>
          <w:i/>
          <w:color w:val="A03030"/>
          <w:sz w:val="19"/>
        </w:rPr>
        <w:t>/sql</w:t>
      </w:r>
      <w:r>
        <w:rPr>
          <w:i/>
        </w:rPr>
        <w:t xml:space="preserve"> (como TEST SQL V2).</w:t>
      </w:r>
    </w:p>
    <w:p>
      <w:pPr>
        <w:spacing w:before="40" w:after="40"/>
        <w:ind w:left="432"/>
        <w:pBdr>
          <w:left w:val="single" w:sz="18" w:space="8" w:color="2E74B5"/>
        </w:pBdr>
      </w:pPr>
      <w:r>
        <w:rPr>
          <w:i/>
        </w:rPr>
      </w:r>
      <w:r>
        <w:rPr>
          <w:i/>
        </w:rPr>
        <w:t>Alcance inicial: SOLO Motor de Tracción (MT). Escalará a otros componentes en versiones futuras.</w:t>
      </w:r>
    </w:p>
    <w:p>
      <w:pPr>
        <w:spacing w:before="20" w:after="20"/>
        <w:ind w:left="360"/>
      </w:pPr>
      <w:r>
        <w:rPr>
          <w:b/>
        </w:rPr>
        <w:t xml:space="preserve">1. </w:t>
      </w:r>
      <w:r>
        <w:t xml:space="preserve">[x] Decidir Variante A vs B → </w:t>
      </w:r>
      <w:r>
        <w:rPr>
          <w:b/>
        </w:rPr>
        <w:t>B</w:t>
      </w:r>
      <w:r>
        <w:t>.</w:t>
      </w:r>
    </w:p>
    <w:p>
      <w:pPr>
        <w:spacing w:before="20" w:after="20"/>
        <w:ind w:left="360"/>
      </w:pPr>
      <w:r>
        <w:rPr>
          <w:b/>
        </w:rPr>
        <w:t xml:space="preserve">2. </w:t>
      </w:r>
      <w:r>
        <w:t xml:space="preserve">[ ] Extraer el system prompt de SQL-Gen desde la Instrucción 2 del </w:t>
      </w:r>
      <w:r>
        <w:rPr>
          <w:rFonts w:ascii="Courier New" w:hAnsi="Courier New"/>
          <w:color w:val="A03030"/>
          <w:sz w:val="19"/>
        </w:rPr>
        <w:t>.docx</w:t>
      </w:r>
      <w:r>
        <w:t xml:space="preserve"> (ya tiene esquema, CROSS JOIN, lado LH/RH, columnas prohibidas).</w:t>
      </w:r>
    </w:p>
    <w:p>
      <w:pPr>
        <w:spacing w:before="20" w:after="20"/>
        <w:ind w:left="360"/>
      </w:pPr>
      <w:r>
        <w:rPr>
          <w:b/>
        </w:rPr>
        <w:t xml:space="preserve">3. </w:t>
      </w:r>
      <w:r>
        <w:t xml:space="preserve">[ ] (B) Crear sub-agente Opus en Copilot Studio + conectar a </w:t>
      </w:r>
      <w:r>
        <w:rPr>
          <w:rFonts w:ascii="Courier New" w:hAnsi="Courier New"/>
          <w:color w:val="A03030"/>
          <w:sz w:val="19"/>
        </w:rPr>
        <w:t>/sql</w:t>
      </w:r>
      <w:r>
        <w:t xml:space="preserve">. (A) Añadir cliente Opus al </w:t>
      </w:r>
      <w:r>
        <w:rPr>
          <w:rFonts w:ascii="Courier New" w:hAnsi="Courier New"/>
          <w:color w:val="A03030"/>
          <w:sz w:val="19"/>
        </w:rPr>
        <w:t>provider factory</w:t>
      </w:r>
      <w:r>
        <w:t>.</w:t>
      </w:r>
    </w:p>
    <w:p>
      <w:pPr>
        <w:spacing w:before="20" w:after="20"/>
        <w:ind w:left="360"/>
      </w:pPr>
      <w:r>
        <w:rPr>
          <w:b/>
        </w:rPr>
        <w:t xml:space="preserve">4. </w:t>
      </w:r>
      <w:r>
        <w:t xml:space="preserve">[ ] Smoke test con el set de 18 consultas de </w:t>
      </w:r>
      <w:r>
        <w:rPr>
          <w:rFonts w:ascii="Courier New" w:hAnsi="Courier New"/>
          <w:color w:val="A03030"/>
          <w:sz w:val="19"/>
        </w:rPr>
        <w:t>pruebas_definitivas</w:t>
      </w:r>
      <w:r>
        <w:t xml:space="preserve"> + las que fallaron el 05/06.</w:t>
      </w:r>
    </w:p>
    <w:p>
      <w:pPr>
        <w:spacing w:before="20" w:after="20"/>
        <w:ind w:left="360"/>
      </w:pPr>
      <w:r>
        <w:rPr>
          <w:b/>
        </w:rPr>
        <w:t xml:space="preserve">5. </w:t>
      </w:r>
      <w:r>
        <w:t xml:space="preserve">[ ] Mantener los </w:t>
      </w:r>
      <w:r>
        <w:rPr>
          <w:rFonts w:ascii="Courier New" w:hAnsi="Courier New"/>
          <w:color w:val="A03030"/>
          <w:sz w:val="19"/>
        </w:rPr>
        <w:t>intentar_*_directo</w:t>
      </w:r>
      <w:r>
        <w:t xml:space="preserve"> como fast-path opcional (consultas idénticas y frecuentes) — degradación elegante.</w:t>
      </w:r>
    </w:p>
    <w:p>
      <w:pPr>
        <w:spacing w:before="20" w:after="20"/>
        <w:ind w:left="360"/>
      </w:pPr>
      <w:r>
        <w:rPr>
          <w:b/>
        </w:rPr>
        <w:t xml:space="preserve">6. </w:t>
      </w:r>
      <w:r>
        <w:t>[ ] Recolectar textos de recomendación de Hidráulico/Rueda/Motor del área de confiabilidad.</w:t>
      </w:r>
    </w:p>
    <w:p>
      <w:pPr>
        <w:spacing w:before="20" w:after="20"/>
        <w:ind w:left="360"/>
      </w:pPr>
      <w:r>
        <w:rPr>
          <w:b/>
        </w:rPr>
        <w:t xml:space="preserve">7. </w:t>
      </w:r>
      <w:r>
        <w:t xml:space="preserve">[ ] Cuando el pivote esté validado, retirar la capa de heurísticas regex de </w:t>
      </w:r>
      <w:r>
        <w:rPr>
          <w:rFonts w:ascii="Courier New" w:hAnsi="Courier New"/>
          <w:color w:val="A03030"/>
          <w:sz w:val="19"/>
        </w:rPr>
        <w:t>llm.py</w:t>
      </w:r>
      <w:r>
        <w:t>.</w:t>
      </w:r>
    </w:p>
    <w:p>
      <w:pPr>
        <w:pBdr>
          <w:bottom w:val="single" w:sz="6" w:space="1" w:color="2E74B5"/>
        </w:pBdr>
        <w:spacing w:before="80" w:after="80"/>
      </w:pPr>
    </w:p>
    <w:p>
      <w:pPr>
        <w:pStyle w:val="Heading2"/>
        <w:spacing w:before="200" w:after="80"/>
      </w:pPr>
      <w:r>
        <w:rPr>
          <w:color w:val="2E74B5"/>
          <w:sz w:val="26"/>
        </w:rPr>
        <w:t>8. Parches aplicados (2026-06-05, antes del pivote) — VALIDADOS en producción</w:t>
      </w:r>
    </w:p>
    <w:p>
      <w:pPr>
        <w:spacing w:before="40" w:after="60"/>
      </w:pPr>
      <w:r>
        <w:t>Sobre el código actual, para que producción deje de fallar de inmediato: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Tendencia unificada:</w:t>
      </w:r>
      <w:r>
        <w:t xml:space="preserve"> default = 8 muestras individuales (antes forzaba AVG mensual de 24 meses contradiciendo el path directo). ✅ validado.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Abreviaturas de compartimiento:</w:t>
      </w:r>
      <w:r>
        <w:t xml:space="preserve"> "MT RH", "MT LH", "EMT", "MTLH" → </w:t>
      </w:r>
      <w:r>
        <w:rPr>
          <w:rFonts w:ascii="Courier New" w:hAnsi="Courier New"/>
          <w:color w:val="A03030"/>
          <w:sz w:val="19"/>
        </w:rPr>
        <w:t>%TRACCION%</w:t>
      </w:r>
      <w:r>
        <w:t>. ✅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Insensibilidad a tildes:</w:t>
      </w:r>
      <w:r>
        <w:t xml:space="preserve"> </w:t>
      </w:r>
      <w:r>
        <w:rPr>
          <w:rFonts w:ascii="Courier New" w:hAnsi="Courier New"/>
          <w:color w:val="A03030"/>
          <w:sz w:val="19"/>
        </w:rPr>
        <w:t>_buscar()</w:t>
      </w:r>
      <w:r>
        <w:t xml:space="preserve"> + </w:t>
      </w:r>
      <w:r>
        <w:rPr>
          <w:rFonts w:ascii="Courier New" w:hAnsi="Courier New"/>
          <w:color w:val="A03030"/>
          <w:sz w:val="19"/>
        </w:rPr>
        <w:t>_regex_sin_tildes()</w:t>
      </w:r>
      <w:r>
        <w:t xml:space="preserve"> matchean patrón y texto sin tildes en ambas direcciones → "ultimo analisis", "traccion", "condicion", "cuantos" funcionan igual que con tilde. ✅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Path nuevo `intentar_ultimo_analisis_con_limites_directo`:</w:t>
      </w:r>
      <w:r>
        <w:t xml:space="preserve"> "condición del MT del 3171" / "último análisis + cuál está fuera de límites" en UNA consulta con columna Estado (NORMAL/PRECAUCIÓN/CRÍTICO) y LP/LC reales. Disparadores: equipo+condicion_eval, o ultimo+triage. ✅ validado (CA3171 LH Cr CRÍTICO correcto).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Conteo de flota `intentar_conteo_flota_directo`:</w:t>
      </w:r>
      <w:r>
        <w:t xml:space="preserve"> "cuántos 980 tiene Antapaccay" sin inventar columnas. ✅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Extracción LP/LC sin umbral (analitica.py):</w:t>
      </w:r>
      <w:r>
        <w:t xml:space="preserve"> las columnas LP/LC se extraen por nombre, no gated por el umbral ≥3 de </w:t>
      </w:r>
      <w:r>
        <w:rPr>
          <w:rFonts w:ascii="Courier New" w:hAnsi="Courier New"/>
          <w:color w:val="A03030"/>
          <w:sz w:val="19"/>
        </w:rPr>
        <w:t>_buscar_columnas_numericas</w:t>
      </w:r>
      <w:r>
        <w:t xml:space="preserve">. Antes, consultas de 1-2 filas vaciaban </w:t>
      </w:r>
      <w:r>
        <w:rPr>
          <w:rFonts w:ascii="Courier New" w:hAnsi="Courier New"/>
          <w:color w:val="A03030"/>
          <w:sz w:val="19"/>
        </w:rPr>
        <w:t>limites_referencia</w:t>
      </w:r>
      <w:r>
        <w:t xml:space="preserve"> → sin recomendaciones → Copilot inventaba. ✅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Filtro de lado LH/RH en las 6 rutas directas:</w:t>
      </w:r>
      <w:r>
        <w:t xml:space="preserve"> </w:t>
      </w:r>
      <w:r>
        <w:rPr>
          <w:rFonts w:ascii="Courier New" w:hAnsi="Courier New"/>
          <w:color w:val="A03030"/>
          <w:sz w:val="19"/>
        </w:rPr>
        <w:t>_detectar_lado</w:t>
      </w:r>
      <w:r>
        <w:t xml:space="preserve"> + </w:t>
      </w:r>
      <w:r>
        <w:rPr>
          <w:rFonts w:ascii="Courier New" w:hAnsi="Courier New"/>
          <w:color w:val="A03030"/>
          <w:sz w:val="19"/>
        </w:rPr>
        <w:t>_where_lado</w:t>
      </w:r>
      <w:r>
        <w:t>, aplicado SOLO a las muestras (LaboratoryData), NUNCA a LimitesLC (LP/LC iguales por lado). Antes "MT izquierdo" traía LH+RH y el RH contaminaba las recomendaciones del LH con max(). ✅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Orden de despacho:</w:t>
      </w:r>
      <w:r>
        <w:t xml:space="preserve"> conteo → condición+límites → historial → flota → tendencia → triage → ranking.</w:t>
      </w:r>
    </w:p>
    <w:p>
      <w:pPr>
        <w:spacing w:before="40" w:after="60"/>
      </w:pPr>
      <w:r>
        <w:t>Instrucción Copilot (aplicada por el usuario 2026-06-05): evaluación de TODOS los metales vs LP/LC,</w:t>
      </w:r>
    </w:p>
    <w:p>
      <w:pPr>
        <w:spacing w:before="40" w:after="60"/>
      </w:pPr>
      <w:r>
        <w:t>prohibido usar Condicion, recomendaciones_mt verbatim, columna Estado del backend, FALLBACK con CROSS JOIN.</w:t>
      </w:r>
    </w:p>
    <w:p>
      <w:pPr>
        <w:pStyle w:val="Heading2"/>
        <w:spacing w:before="200" w:after="80"/>
      </w:pPr>
      <w:r>
        <w:rPr>
          <w:color w:val="2E74B5"/>
          <w:sz w:val="26"/>
        </w:rPr>
        <w:t>8b. Cómo ejecuta el SQL el sub-agente — DOS sub-rutas</w:t>
      </w:r>
    </w:p>
    <w:p>
      <w:pPr>
        <w:spacing w:before="40" w:after="60"/>
      </w:pPr>
      <w:r>
        <w:t xml:space="preserve">CORRECCIÓN IMPORTANTE (2026-06-06): el flujo </w:t>
      </w:r>
      <w:r>
        <w:rPr>
          <w:b/>
        </w:rPr>
        <w:t>TEST SQL V2 se conecta DIRECTO a Azure SQL</w:t>
      </w:r>
    </w:p>
    <w:p>
      <w:pPr>
        <w:spacing w:before="40" w:after="60"/>
      </w:pPr>
      <w:r>
        <w:t xml:space="preserve">(conector SQL Server de Power Automate), NO pasa por el backend Python </w:t>
      </w:r>
      <w:r>
        <w:rPr>
          <w:rFonts w:ascii="Courier New" w:hAnsi="Courier New"/>
          <w:color w:val="A03030"/>
          <w:sz w:val="19"/>
        </w:rPr>
        <w:t>/sql</w:t>
      </w:r>
      <w:r>
        <w:t>. Por tanto, en ese</w:t>
      </w:r>
    </w:p>
    <w:p>
      <w:pPr>
        <w:spacing w:before="40" w:after="60"/>
      </w:pPr>
      <w:r>
        <w:t xml:space="preserve">camino </w:t>
      </w:r>
      <w:r>
        <w:rPr>
          <w:rFonts w:ascii="Courier New" w:hAnsi="Courier New"/>
          <w:color w:val="A03030"/>
          <w:sz w:val="19"/>
        </w:rPr>
        <w:t>analitica.py</w:t>
      </w:r>
      <w:r>
        <w:t xml:space="preserve"> (recomendaciones, limites_referencia) NO participa. Lo que SÍ llega es lo que</w:t>
      </w:r>
    </w:p>
    <w:p>
      <w:pPr>
        <w:spacing w:before="40" w:after="60"/>
      </w:pPr>
      <w:r>
        <w:t xml:space="preserve">va dentro del SELECT: columnas LP/LC y la columna </w:t>
      </w:r>
      <w:r>
        <w:rPr>
          <w:b/>
        </w:rPr>
        <w:t>Estado</w:t>
      </w:r>
      <w:r>
        <w:t xml:space="preserve"> (CASE WHEN), porque se computan en el</w:t>
      </w:r>
    </w:p>
    <w:p>
      <w:pPr>
        <w:spacing w:before="40" w:after="60"/>
      </w:pPr>
      <w:r>
        <w:t>propio SQL que genera el sub-agente.</w:t>
      </w:r>
    </w:p>
    <w:p>
      <w:pPr>
        <w:spacing w:before="40" w:after="60"/>
      </w:pPr>
      <w:r>
        <w:t xml:space="preserve">Sub-agente configurado: </w:t>
      </w:r>
      <w:r>
        <w:rPr>
          <w:b/>
        </w:rPr>
        <w:t>"KomfIA SQL"</w:t>
      </w:r>
      <w:r>
        <w:t xml:space="preserve"> (Claude Sonnet 4.6), system prompt = Instrucción 2,</w:t>
      </w:r>
    </w:p>
    <w:p>
      <w:pPr>
        <w:spacing w:before="40" w:after="60"/>
      </w:pPr>
      <w:r>
        <w:t>herramienta = flujo TEST SQL V2.</w:t>
      </w:r>
    </w:p>
    <w:p>
      <w:pPr>
        <w:pStyle w:val="Heading3"/>
        <w:spacing w:before="120" w:after="80"/>
      </w:pPr>
      <w:r>
        <w:rPr>
          <w:color w:val="24639E"/>
          <w:sz w:val="23"/>
        </w:rPr>
        <w:t>Ruta A — Puro Copilot + Azure (RECOMENDADA)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El sub-agente genera el SQL (con Estado + LP/LC dentro del SELECT) → TEST SQL V2 ejecuta directo</w:t>
      </w:r>
    </w:p>
    <w:p>
      <w:pPr>
        <w:spacing w:before="40" w:after="60"/>
      </w:pPr>
      <w:r>
        <w:t>en Azure → filas crudas → el agente principal KomfIA formatea.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Las </w:t>
      </w:r>
      <w:r>
        <w:rPr>
          <w:b/>
        </w:rPr>
        <w:t>recomendaciones técnicas</w:t>
      </w:r>
      <w:r>
        <w:t xml:space="preserve"> van en la instrucción del agente principal (ver</w:t>
      </w:r>
    </w:p>
    <w:p>
      <w:pPr>
        <w:spacing w:before="40" w:after="60"/>
      </w:pPr>
      <w:r>
        <w:rPr>
          <w:rFonts w:ascii="Courier New" w:hAnsi="Courier New"/>
          <w:color w:val="A03030"/>
          <w:sz w:val="19"/>
        </w:rPr>
        <w:t>docs/copilot/KomfIA_recomendaciones_MT.md</w:t>
      </w:r>
      <w:r>
        <w:t>); Sonnet 4.6 las renderiza verbatim cuando un metal &gt; LP.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rPr>
          <w:b/>
        </w:rPr>
        <w:t>Infra cero</w:t>
      </w:r>
      <w:r>
        <w:t>: sin Render, sin Python. El backend Python queda RETIRABLE por completo.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Seguridad: la cuenta de BD es </w:t>
      </w:r>
      <w:r>
        <w:rPr>
          <w:b/>
        </w:rPr>
        <w:t>solo-lectura</w:t>
      </w:r>
      <w:r>
        <w:t xml:space="preserve"> (sin DDL/DML) → la ejecución directa es segura.</w:t>
      </w:r>
    </w:p>
    <w:p>
      <w:pPr>
        <w:pStyle w:val="Heading3"/>
        <w:spacing w:before="120" w:after="80"/>
      </w:pPr>
      <w:r>
        <w:rPr>
          <w:color w:val="24639E"/>
          <w:sz w:val="23"/>
        </w:rPr>
        <w:t>Ruta B — Con backend Python (si se quiere determinismo en recomendaciones)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 xml:space="preserve">Reemplazar/añadir en el flujo una acción HTTP que llame a </w:t>
      </w:r>
      <w:r>
        <w:rPr>
          <w:rFonts w:ascii="Courier New" w:hAnsi="Courier New"/>
          <w:color w:val="A03030"/>
          <w:sz w:val="19"/>
        </w:rPr>
        <w:t>POST /sql</w:t>
      </w:r>
      <w:r>
        <w:t xml:space="preserve"> del backend Render en vez</w:t>
      </w:r>
    </w:p>
    <w:p>
      <w:pPr>
        <w:spacing w:before="40" w:after="60"/>
      </w:pPr>
      <w:r>
        <w:t>del conector directo. El backend valida, ejecuta y enriquece (analitica → recomendaciones_mt).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Pro: recomendaciones 100% determinísticas. Con: depende de Render arriba + un hop extra.</w:t>
      </w:r>
    </w:p>
    <w:p>
      <w:pPr>
        <w:spacing w:before="40" w:after="60"/>
      </w:pPr>
      <w:r>
        <w:rPr>
          <w:b/>
        </w:rPr>
        <w:t>Decisión sugerida: Ruta A.</w:t>
      </w:r>
      <w:r>
        <w:t xml:space="preserve"> BD solo-lectura cubre la seguridad; Sonnet 4.6 rinde verbatim;</w:t>
      </w:r>
    </w:p>
    <w:p>
      <w:pPr>
        <w:spacing w:before="40" w:after="60"/>
      </w:pPr>
      <w:r>
        <w:t>elimina toda la infra del backend. El conocimiento de dominio (CROSS JOIN, lado LH/RH, columnas</w:t>
      </w:r>
    </w:p>
    <w:p>
      <w:pPr>
        <w:spacing w:before="40" w:after="60"/>
      </w:pPr>
      <w:r>
        <w:t>prohibidas, Estado) ya está en la Instrucción 2; las recomendaciones en la instrucción del principal.</w:t>
      </w:r>
    </w:p>
    <w:p>
      <w:pPr>
        <w:spacing w:before="40" w:after="60"/>
      </w:pPr>
      <w:r>
        <w:t>Tareas de arranque (Ruta A):</w:t>
      </w:r>
    </w:p>
    <w:p>
      <w:pPr>
        <w:spacing w:before="20" w:after="20"/>
        <w:ind w:left="360"/>
      </w:pPr>
      <w:r>
        <w:rPr>
          <w:b/>
        </w:rPr>
        <w:t xml:space="preserve">1. </w:t>
      </w:r>
      <w:r>
        <w:t>Sub-agente KomfIA SQL: instrucción = Instrucción 2 ✅; herramienta = TEST SQL V2 ✅; búsqueda web OFF.</w:t>
      </w:r>
    </w:p>
    <w:p>
      <w:pPr>
        <w:spacing w:before="20" w:after="20"/>
        <w:ind w:left="360"/>
      </w:pPr>
      <w:r>
        <w:rPr>
          <w:b/>
        </w:rPr>
        <w:t xml:space="preserve">2. </w:t>
      </w:r>
      <w:r>
        <w:t>Agente principal KomfIA: agregar KomfIA SQL como agente conectado + pegar el bloque de</w:t>
      </w:r>
    </w:p>
    <w:p>
      <w:pPr>
        <w:spacing w:before="40" w:after="60"/>
      </w:pPr>
      <w:r>
        <w:t>recomendaciones (</w:t>
      </w:r>
      <w:r>
        <w:rPr>
          <w:rFonts w:ascii="Courier New" w:hAnsi="Courier New"/>
          <w:color w:val="A03030"/>
          <w:sz w:val="19"/>
        </w:rPr>
        <w:t>KomfIA_recomendaciones_MT.md</w:t>
      </w:r>
      <w:r>
        <w:t>) y las reglas de formato/Estado.</w:t>
      </w:r>
    </w:p>
    <w:p>
      <w:pPr>
        <w:spacing w:before="20" w:after="20"/>
        <w:ind w:left="360"/>
      </w:pPr>
      <w:r>
        <w:rPr>
          <w:b/>
        </w:rPr>
        <w:t xml:space="preserve">3. </w:t>
      </w:r>
      <w:r>
        <w:t>Validar con las consultas del set de pruebas. Si todo OK, el backend Python/Render se puede apagar.</w:t>
      </w:r>
    </w:p>
    <w:p>
      <w:pPr>
        <w:pStyle w:val="Heading2"/>
        <w:spacing w:before="200" w:after="80"/>
      </w:pPr>
      <w:r>
        <w:rPr>
          <w:color w:val="2E74B5"/>
          <w:sz w:val="26"/>
        </w:rPr>
        <w:t>9. Lección transversal (refuerza la decisión de pivote)</w:t>
      </w:r>
    </w:p>
    <w:p>
      <w:pPr>
        <w:spacing w:before="40" w:after="60"/>
      </w:pPr>
      <w:r>
        <w:t>Cada bug de esta ronda fue una variante de phrasing o un acoplamiento frágil: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"MT RH" vs "motor de tracción" (abreviatura) — regex nuevo.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"ultimo" vs "último" (tilde) — helper nuevo.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"condición" no era trigger de LP/LC — routing nuevo.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LP/LC vaciados por umbral estadístico — acoplamiento oculto entre analitica y nº de filas.</w:t>
      </w:r>
    </w:p>
    <w:p>
      <w:pPr>
        <w:spacing w:before="20" w:after="20"/>
        <w:ind w:left="360"/>
      </w:pPr>
      <w:r>
        <w:rPr>
          <w:b/>
        </w:rPr>
        <w:t xml:space="preserve">• </w:t>
      </w:r>
      <w:r>
        <w:t>LH/RH no filtrado — 6 ediciones en 6 rutas.</w:t>
      </w:r>
    </w:p>
    <w:p>
      <w:pPr>
        <w:spacing w:before="40" w:after="60"/>
      </w:pPr>
      <w:r>
        <w:rPr>
          <w:b/>
        </w:rPr>
        <w:t>Patrón:</w:t>
      </w:r>
      <w:r>
        <w:t xml:space="preserve"> N rutas × M variantes de lenguaje × K detalles de dominio = superficie de bugs que</w:t>
      </w:r>
    </w:p>
    <w:p>
      <w:pPr>
        <w:spacing w:before="40" w:after="60"/>
      </w:pPr>
      <w:r>
        <w:t>crece multiplicativamente. Un modelo fuerte (Opus) con UN system prompt de dominio colapsa esa</w:t>
      </w:r>
    </w:p>
    <w:p>
      <w:pPr>
        <w:spacing w:before="40" w:after="60"/>
      </w:pPr>
      <w:r>
        <w:t>matriz a una sola superficie razonada. Por eso el pivote (Variante B) no es opcional a mediano</w:t>
      </w:r>
    </w:p>
    <w:p>
      <w:pPr>
        <w:spacing w:before="40" w:after="60"/>
      </w:pPr>
      <w:r>
        <w:t>plazo: es el único camino que no escala en bugs. Los parches de esta ronda compran tiempo y dejan</w:t>
      </w:r>
    </w:p>
    <w:p>
      <w:pPr>
        <w:spacing w:before="40" w:after="60"/>
      </w:pPr>
      <w:r>
        <w:t>el backend (seguridad + analitica + recomendaciones) listo como ejecutor del modelo fuerte.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