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SCOPE por-proyecto: SIEMPRE filtra Proyecto; el modelo es ADICIONAL, nunca sustituto (un proyecto puede tener VARIOS modelos); barrido/triage/incipiente = flota COMPLETA del proyecto, no preguntes modelo. FORMATO: encabezados ≤8 car. (Par., Hor., Fec.…); métrica=símbolo; «(ppm)» solo en título. SEMÁFORO: chips 🟩|🟨|🟥 PEGADOS al valor en la misma celda («5.16 🟥»); 🟩 se omite (celda limpia). PROHIBIDO: columnas «Estado X» aparte, fusionar grupos,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+ tabla resumen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(1 comp) en ```; ⛔NUNCA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