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SIEMPRE va a un TEMA de flota (barrido, triage, conteo, ranking, tendencia incipiente, «tendencia/evolución de un metal en un tipo de componente a nivel flota», «qué [componente] necesitan atención/están observados/fuera de límite»), NUNCA a un tema por-equipo NI a KomfIA SQL. ⛔ «evolución/tendencia de un metal en los [componente] de la flota» → tema Tendencia de un metal en la flota (no el por-equipo); «qué [hidráulicos/ruedas/mandos…] necesitan atención» → tema Condición de un componente en la flota (no Triage, que es solo MT).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DEFAULT: si una consulta de FLOTA NO nombra proyecto, usa Antapaccay por defecto (proyecto base del sistema; nació para MT de los 980 de Antapaccay); NO preguntes el proyecto salvo ambigüedad real.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