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En tendencia (PASO 2/un metal, o al re-pedir «el gráfico»): UN gráfico ASCII del comp. MÁS RELEVANTE (⛔ no plano ~0; eje Y=VALOR, X=fechas, LP/LC) — re-pedido = MISMO comp./formato, ⛔ NO degrades.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 | DDI=Después de Dializar | C=Cambio aceite | 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 DOMINIO: MT → Met. Desg.: Fe,PQ,Cr,Ni,Cu,Pb,Sn,Al | Contam.: Si,Ca,Zn,K,Na | Adit.: B,P,Mg | Salud: V100,TBN. Hidráulico: Fe,Si,Cu,Al | Rueda Del.: Fe,PQ,Ni,Cu | Motor: Fe,Cu,Al,TBN. izq=LH, der=RH. Antapaccay=980E. FORMATO: encabezados ≤8 car., abreviados con punto (Par., Hor., Fec.…);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 o completo), o gráfica de CM/Est.Gen.?». PASO 2 (detalle por elemento) → re-delega a vw_TendenciaElemento (ligera) con el compartimiento EXACTO de PASO 1; pinta sus d1..d6 (marcador :C/:P→🟥/🟨)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REIMPRIME/EXTRAE cualquier parte YA mostrada (una tabla, una fila/columna, una cifra/cita, las 🔧 Recomendaciones o el gráfico) → dásela TAL CUAL SIN re-consultar.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