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497D"/>
          <w:sz w:val="32"/>
        </w:rPr>
        <w:t>Esquema de BD y Patrones SQL — bd_kmmp_osconfiabilidad</w:t>
      </w:r>
    </w:p>
    <w:p>
      <w:pPr>
        <w:pStyle w:val="Heading1"/>
      </w:pPr>
      <w:r>
        <w:rPr>
          <w:color w:val="1F497D"/>
          <w:sz w:val="32"/>
        </w:rPr>
        <w:t>Conocimiento de referencia para KomfIA SQL. Esquema, vistas, mapeos y naming para generar SQL correcto en SQL Server (Azure). Servidor: serverbd-osconfiabilidad.database.windows.net. PROHIBIDO repetir plantillas: el ENRUTAMIENTO y las PLANTILLAS de SELECT viven en la INSTRUCCIÓN de KomfIA SQL (única fuente). Este doc es el mapa del esquema y de las vistas que esas plantillas usan.</w:t>
      </w:r>
    </w:p>
    <w:p>
      <w:pPr>
        <w:pStyle w:val="Heading1"/>
      </w:pPr>
      <w:r>
        <w:rPr>
          <w:color w:val="1F497D"/>
          <w:sz w:val="32"/>
        </w:rPr>
      </w:r>
    </w:p>
    <w:p>
      <w:pPr>
        <w:pStyle w:val="Heading1"/>
      </w:pPr>
      <w:r>
        <w:rPr>
          <w:color w:val="1F497D"/>
          <w:sz w:val="32"/>
        </w:rPr>
        <w:t>TABLAS BASE Y COLUMNAS</w:t>
      </w:r>
    </w:p>
    <w:p>
      <w:pPr>
        <w:pStyle w:val="Heading1"/>
      </w:pPr>
      <w:r>
        <w:rPr>
          <w:color w:val="1F497D"/>
          <w:sz w:val="32"/>
        </w:rPr>
        <w:t>[Oil].[LaboratoryData] — una fila por muestra de aceite.</w:t>
      </w:r>
    </w:p>
    <w:p>
      <w:pPr>
        <w:pStyle w:val="Heading1"/>
      </w:pPr>
      <w:r>
        <w:rPr>
          <w:color w:val="1F497D"/>
          <w:sz w:val="32"/>
        </w:rPr>
        <w:t xml:space="preserve">  LaboratoryDataId(PK), MiningEquipmentId(FK), CodigoMuestreo, Compartimiento, FechaMuestreo, Horometro, HorasDeAceite, CM, Grado, Condicion (1/2/3 — NUNCA usar para estado). Metales: Fe_ppm, Cu_ppm, Cr_ppm, Al_ppm, Pb_ppm, Sn_ppm, Ni_ppm, Si_ppm, Ca_ppm, Zn_ppm, K_ppm, Na_ppm, Mg_ppm, B_ppm, P_ppm. Físicos: Indice_PQ, V100, TBN, TAN, Agua, Oxidacion. HorasA/HorasB suelen venir NULL (no son horas de componente fiables).</w:t>
      </w:r>
    </w:p>
    <w:p>
      <w:pPr>
        <w:pStyle w:val="Heading1"/>
      </w:pPr>
      <w:r>
        <w:rPr>
          <w:color w:val="1F497D"/>
          <w:sz w:val="32"/>
        </w:rPr>
        <w:t>[Mine].[MiningEquipment] — Id(PK, uniqueidentifier), Code (ej. 'CA3160' = la columna del equipo; NUNCA existe EquipmentCode/EquipmentId), MiningProjectId(FK), EquipmentFleetId(FK).</w:t>
      </w:r>
    </w:p>
    <w:p>
      <w:pPr>
        <w:pStyle w:val="Heading1"/>
      </w:pPr>
      <w:r>
        <w:rPr>
          <w:color w:val="1F497D"/>
          <w:sz w:val="32"/>
        </w:rPr>
        <w:t>[Mine].[MiningProject] — Id(PK), Name ('Antapaccay','Antamina','Cerro Verde','Toromocho','Cuajone').</w:t>
      </w:r>
    </w:p>
    <w:p>
      <w:pPr>
        <w:pStyle w:val="Heading1"/>
      </w:pPr>
      <w:r>
        <w:rPr>
          <w:color w:val="1F497D"/>
          <w:sz w:val="32"/>
        </w:rPr>
        <w:t>[Mine].[EquipmentFleet] — Id(PK), Model ('980E','930E','D475A','PC1250'...), Type, Description.</w:t>
      </w:r>
    </w:p>
    <w:p>
      <w:pPr>
        <w:pStyle w:val="Heading1"/>
      </w:pPr>
      <w:r>
        <w:rPr>
          <w:color w:val="1F497D"/>
          <w:sz w:val="32"/>
        </w:rPr>
        <w:t>[Eqpcare].[lc] — límites LP/LC por Proyecto × MODELO × COMPONENTE. Columnas con espacios SIEMPRE entre corchetes: [Proyecto], [MODELO], [COMPONENTE], [FIERRO - LP],[FIERRO - LC],[CROMO - LP],[CROMO - LC],[NIQUEL - LP],[NIQUEL - LC],[COBRE - LP],[COBRE - LC],[SILICIO - LP],[SILICIO - LC],[ALUMINIO - LP],[ALUMINIO - LC],[CALCIO - LP],[CALCIO - LC],[ZINC - LP],[ZINC - LC],[POTASIO - LP],[POTASIO - LC],[SODIO - LP],[SODIO - LC],[MAGNESIO - LP],[MAGNESIO - LC],[PLOMO - LP],[ESTAÑO - LP],[PQ - LP],[PQ - LC],[TBN - LP],[TBN - LC]. lc TIENE columna MODELO: los límites varían por modelo (ej. hidráulico Fe: 980E≈6/7, D475A≈70/140, PC1250≈40/80). NO consultes lc directo desde el sub-agente: las vistas ya traen LP/LC por proyecto+modelo+componente.</w:t>
      </w:r>
    </w:p>
    <w:p>
      <w:pPr>
        <w:pStyle w:val="Heading1"/>
      </w:pPr>
      <w:r>
        <w:rPr>
          <w:color w:val="1F497D"/>
          <w:sz w:val="32"/>
        </w:rPr>
        <w:t>[Eqpcare].[HsCc] — snapshot de componentes (horas, cambios). Nombres reales: [FLOTA],[EQUIPO],[FECHA],[HOROMETRO],[FECHA ULTIMA COMUNICACIÓN],[SISTEMA](=componente),[TIPO COMP.],[DESCRIPCIÓN DEL COMPONENTE],[CONCA1],[SERIE],[POS.],[CANT.],[VALOR USDUND],[TBO],[TIPO],[1°/2°/3° HOROMETRO/FECHA/∆ HORAS],[4° HOROMETRO/FECHA],[SMR ULTIMO SERVICIO],[FECHA ULTIMO SERVICIO],[HORAS TRABAJADAS OTRO EQP],[HORAS DE TRABAJO ACUMULADO ](OJO: ESPACIO FINAL en el nombre),[HORAS DE TRABAJO RESTANTE],[% USADO STD],[ESTADO SOS](=condición del área),[PLAN],[PROX. MUESTREO],[CONDICION],[FECHA DE MUESTRA],[HORAS DE ACEITE],[PROYECTO],[ProyectoInicio],[ESTADO TAPONES],[HORAS CAMBIO DE DRIVE SHAFT],[HORAS DRIVE SHAFT]. Horas de componente = Horometro − [SMR ULTIMO SERVICIO]. Solo lo usan las vistas de barrido/diagnóstico (no lo consultes a mano).</w:t>
      </w:r>
    </w:p>
    <w:p>
      <w:pPr>
        <w:pStyle w:val="Heading1"/>
      </w:pPr>
      <w:r>
        <w:rPr>
          <w:color w:val="1F497D"/>
          <w:sz w:val="32"/>
        </w:rPr>
      </w:r>
    </w:p>
    <w:p>
      <w:pPr>
        <w:pStyle w:val="Heading1"/>
      </w:pPr>
      <w:r>
        <w:rPr>
          <w:color w:val="1F497D"/>
          <w:sz w:val="32"/>
        </w:rPr>
        <w:t>RELACIONES (JOINs): LD.[MiningEquipmentId]=ME.[Id] · ME.[MiningProjectId]=MP.[Id] · ME.[EquipmentFleetId]=EF.[Id].</w:t>
      </w:r>
    </w:p>
    <w:p>
      <w:pPr>
        <w:pStyle w:val="Heading1"/>
      </w:pPr>
      <w:r>
        <w:rPr>
          <w:color w:val="1F497D"/>
          <w:sz w:val="32"/>
        </w:rPr>
      </w:r>
    </w:p>
    <w:p>
      <w:pPr>
        <w:pStyle w:val="Heading1"/>
      </w:pPr>
      <w:r>
        <w:rPr>
          <w:color w:val="1F497D"/>
          <w:sz w:val="32"/>
        </w:rPr>
        <w:t>CATÁLOGO DE VISTAS (úsalas SIEMPRE; ya resuelven último análisis determinístico, LP/LC por proyecto+modelo y Estado; excluyen DDI; sin ROW_NUMBER). La instrucción dice CUÁL elegir; aquí va QUÉ devuelve cada una:</w:t>
      </w:r>
    </w:p>
    <w:p>
      <w:pPr>
        <w:pStyle w:val="Heading1"/>
      </w:pPr>
      <w:r>
        <w:rPr>
          <w:color w:val="1F497D"/>
          <w:sz w:val="32"/>
        </w:rPr>
        <w:t>- vw_LimitesPorComponente — límites LP/LC agregados por ProyKey × ModeloKey × CompTipo desde lc (interna; no se consulta directo).</w:t>
      </w:r>
    </w:p>
    <w:p>
      <w:pPr>
        <w:pStyle w:val="Heading1"/>
      </w:pPr>
      <w:r>
        <w:rPr>
          <w:color w:val="1F497D"/>
          <w:sz w:val="32"/>
        </w:rPr>
        <w:t>- vw_MuestrasEstado — FUNDACIÓN: TODA muestra, todo componente, con Estado_&lt;metal&gt;+Estado_General, flag EsDDI y rn_recencia (=1 última en uso, sin DDI). Base/fundación de las demás (historial → vw_HistorialMuestra; no se consulta directo).</w:t>
      </w:r>
    </w:p>
    <w:p>
      <w:pPr>
        <w:pStyle w:val="Heading1"/>
      </w:pPr>
      <w:r>
        <w:rPr>
          <w:color w:val="1F497D"/>
          <w:sz w:val="32"/>
        </w:rPr>
        <w:t>- vw_MuestrasRankeadas — = vw_MuestrasEstado sin DDI; rn_recencia&lt;=6 = las últimas 6. TENDENCIA (LP/LC ya vienen; NO CROSS JOIN a lc).</w:t>
      </w:r>
    </w:p>
    <w:p>
      <w:pPr>
        <w:pStyle w:val="Heading1"/>
      </w:pPr>
      <w:r>
        <w:rPr>
          <w:color w:val="1F497D"/>
          <w:sz w:val="32"/>
        </w:rPr>
        <w:t>- vw_UltimoAnalisisAceite — última muestra (rn=1, sin DDI) por equipo+compartimiento, cualquier componente. ÚLTIMO ANÁLISIS de 1 compartimiento.</w:t>
      </w:r>
    </w:p>
    <w:p>
      <w:pPr>
        <w:pStyle w:val="Heading1"/>
      </w:pPr>
      <w:r>
        <w:rPr>
          <w:color w:val="1F497D"/>
          <w:sz w:val="32"/>
        </w:rPr>
        <w:t>- vw_EstadoActualMT — = lo anterior filtrado a CompTipo='TRACCION'. CONDICIÓN / TRIAGE / RANKING de MT.</w:t>
      </w:r>
    </w:p>
    <w:p>
      <w:pPr>
        <w:pStyle w:val="Heading1"/>
      </w:pPr>
      <w:r>
        <w:rPr>
          <w:color w:val="1F497D"/>
          <w:sz w:val="32"/>
        </w:rPr>
        <w:t>- vw_ObservadosFlota — base interna del barrido (1 fila/equipo+comp observado): Mets_Obs (determinantes fuera de límite 'Fe:C,Cr:P'), Infs_Obs (informativos Ca/Zn/K/Mg), NumCrit/NumPrec, Detalle pre-formateado y HorasComponente+Cond_Area de HsCc. NO se consulta directo (úsala vía Resumen/Detalle).</w:t>
      </w:r>
    </w:p>
    <w:p>
      <w:pPr>
        <w:pStyle w:val="Heading1"/>
      </w:pPr>
      <w:r>
        <w:rPr>
          <w:color w:val="1F497D"/>
          <w:sz w:val="32"/>
        </w:rPr>
        <w:t>- vw_ObservadosResumen — 1 fila por EQUIPO: Comp_Obs, Met_Obs (solo determinantes), NumCrit/NumPrec, Horometro/HorasDeAceite/FechaUltima/CM agregados. BARRIDO PASO 1 (Tabla 1). SELECT *.</w:t>
      </w:r>
    </w:p>
    <w:p>
      <w:pPr>
        <w:pStyle w:val="Heading1"/>
      </w:pPr>
      <w:r>
        <w:rPr>
          <w:color w:val="1F497D"/>
          <w:sz w:val="32"/>
        </w:rPr>
        <w:t>- vw_ObservadosDetalle — 1 fila por equipo+comp observado, LIGERA: Equipo, Compartimiento, FechaMuestreo, HorasComponente, HorasDeAceite, CM, Estado_General, NumCrit, NumPrec, Detalle. SIN metales sueltos (a propósito: obliga a leer Detalle, no a armar el esqueleto de 4 grupos). BARRIDO PASO 2. SELECT *.</w:t>
      </w:r>
    </w:p>
    <w:p>
      <w:pPr>
        <w:pStyle w:val="Heading1"/>
      </w:pPr>
      <w:r>
        <w:rPr>
          <w:color w:val="1F497D"/>
          <w:sz w:val="32"/>
        </w:rPr>
        <w:t>- vw_UltimoAnalisisFlota — DIAGNÓSTICO de 1 equipo: TODOS los componentes (incluye OK) con todos los params+LP/LC+Estado + HorasComponente real. SELECT COLUMNAS ESTÁNDAR + HorasComponente, WHERE Equipo='CAxxxx'.</w:t>
      </w:r>
    </w:p>
    <w:p>
      <w:pPr>
        <w:pStyle w:val="Heading1"/>
      </w:pPr>
      <w:r>
        <w:rPr>
          <w:color w:val="1F497D"/>
          <w:sz w:val="32"/>
        </w:rPr>
        <w:t>- vw_DiagnosticoEquipo — DIAGNÓSTICO por equipo PRE-FORMATEADO: 1 fila/componente (todos, incl OK) con cada param chip-marcado :C/:P + HorasComponente. Espejo de vw_HistorialMuestra sobre vw_UltimoAnalisisFlota (esta queda como base interna). SELECT * (ligera).</w:t>
      </w:r>
    </w:p>
    <w:p>
      <w:pPr>
        <w:pStyle w:val="Heading1"/>
      </w:pPr>
      <w:r>
        <w:rPr>
          <w:color w:val="1F497D"/>
          <w:sz w:val="32"/>
        </w:rPr>
        <w:t>- vw_TendenciaElemento — TENDENCIA detalle por elemento (PASO 2): 1 fila por parámetro con d1..d8 (8 valores cronológicos + MARCADOR :C/:P, no emoji), f1..f8 (fechas), LP/LC/Prom/Sigma/Tendencia/EsRelevante/Inf. Por defecto WHERE EsRelevante=1; el central solo pinta d1..d8.</w:t>
      </w:r>
    </w:p>
    <w:p>
      <w:pPr>
        <w:pStyle w:val="Heading1"/>
      </w:pPr>
      <w:r>
        <w:rPr>
          <w:sz w:val="32"/>
        </w:rPr>
        <w:t>- vw_HistorialMuestra — HISTORIAL muestra por muestra (incluye DDI), últimos 2 meses (ventana horneada), pre-formateada (cada param con MARCADOR :C/:P, no emoji). SELECT * (ligera). Fechas en filas (desc), params en columnas. ⚠ En las vistas PRE-FORMATEADAS (Historial/Diagnostico/Tendencia) los metales son columnas SÍMBOLO (Fe, Cr, Cu… con chip :C/:P), NO existen Fe_ppm/Fe_LP/Fe_LC (eso es la fundación).</w:t>
      </w:r>
    </w:p>
    <w:p>
      <w:pPr>
        <w:pStyle w:val="Heading1"/>
      </w:pPr>
      <w:r>
        <w:rPr>
          <w:color w:val="1F497D"/>
          <w:sz w:val="32"/>
        </w:rPr>
      </w:r>
    </w:p>
    <w:p>
      <w:pPr>
        <w:pStyle w:val="Heading1"/>
      </w:pPr>
      <w:r>
        <w:rPr>
          <w:color w:val="1F497D"/>
          <w:sz w:val="32"/>
        </w:rPr>
        <w:t>MAPEO Compartimiento→CompTipo (idéntico en lc y en muestras): '%TRACCION%'→TRACCION · '%HIDRAUL%'→HIDRAULICO · '%RUEDA%'→RUEDA · '%MANDO%'→MANDO · '%TRANSMISION%'→TRANSMISION · '%MOTOR%'→MOTOR · resto→OTRO.</w:t>
      </w:r>
    </w:p>
    <w:p>
      <w:pPr>
        <w:pStyle w:val="Heading1"/>
      </w:pPr>
      <w:r>
        <w:rPr>
          <w:color w:val="1F497D"/>
          <w:sz w:val="32"/>
        </w:rPr>
        <w:t>GUARD 'OTRO': un componente no reconocido cae en 'OTRO' y NO recibe límites (ISNULL→9999) → NUNCA dispara observado falso. Componentes raros (DAMPER, PTO, DIFERENCIAL, CAJA GIRO...) quedan fuera del barrido a propósito hasta que el área estandarice nombres y cargue sus límites.</w:t>
      </w:r>
    </w:p>
    <w:p>
      <w:pPr>
        <w:pStyle w:val="Heading1"/>
      </w:pPr>
      <w:r>
        <w:rPr>
          <w:color w:val="1F497D"/>
          <w:sz w:val="32"/>
        </w:rPr>
      </w:r>
    </w:p>
    <w:p>
      <w:pPr>
        <w:pStyle w:val="Heading1"/>
      </w:pPr>
      <w:r>
        <w:rPr>
          <w:color w:val="1F497D"/>
          <w:sz w:val="32"/>
        </w:rPr>
        <w:t>NAMING / GOTCHAS: Equipo = ME.[Code] o columna Equipo de la vista (NUNCA EquipmentCode/EquipmentId). Lado: izquierdo=LH, derecho=RH → Compartimiento LIKE '%LH'/'%RH'. Antapaccay → flota 980E (sin proyecto mencionado, no fuerces 980E). HsCc usa 'T3174' donde ME.Code es 'CA3174' (las vistas resuelven T####→CA####) y [SISTEMA] en inglés para 980E (WHEEL MOTOR LH/RH↔MT, HYDRAULIC↔HIDRÁULICO, SPINDLE↔RUEDA, MOTOR DIESEL↔MOTOR). Pb/Sn/TBN no tienen _LC. TBN es INVERSO (precaución si &lt; TBN_LP). Ca/Zn/K/Na/Mg/B/P son informativos: no alteran Estado_General ni el triage (pero sí llevan recomendación si están fuera de umbral).</w:t>
      </w:r>
    </w:p>
    <w:p>
      <w:pPr>
        <w:pStyle w:val="Heading1"/>
      </w:pPr>
      <w:r>
        <w:rPr>
          <w:color w:val="1F497D"/>
          <w:sz w:val="32"/>
        </w:rPr>
      </w:r>
    </w:p>
    <w:p>
      <w:pPr>
        <w:pStyle w:val="Heading1"/>
      </w:pPr>
      <w:r>
        <w:rPr>
          <w:color w:val="1F497D"/>
          <w:sz w:val="32"/>
        </w:rPr>
        <w:t>REGLAS SQL mínimas (refuerzan la instrucción): solo SELECT/CTE; WITH (NOLOCK) en todo; TOP N (nunca LIMIT), sin límite TOP 100, en triage TOP 500. Si excepcionalmente vas a la tabla base [Oil].[LaboratoryData] (ninguna vista cubre), el ROW_NUMBER lleva SIEMPRE ORDER BY LD.[FechaMuestreo] DESC, LD.[LaboratoryDataId] DESC (las DOS columnas: sin LaboratoryDataId el 'último' es no-determinista por fechas empatadas).</w:t>
      </w:r>
    </w:p>
    <w:p>
      <w:pPr>
        <w:pStyle w:val="Heading1"/>
      </w:pPr>
      <w:r>
        <w:rPr>
          <w:color w:val="1F497D"/>
          <w:sz w:val="32"/>
        </w:rPr>
      </w:r>
    </w:p>
    <w:p>
      <w:pPr>
        <w:pStyle w:val="Heading1"/>
      </w:pPr>
      <w:r>
        <w:rPr>
          <w:color w:val="1F497D"/>
          <w:sz w:val="32"/>
        </w:rPr>
        <w:t>ESCALABILIDAD (a otros proyectos/modelos/componentes): el ÚNICO cuello es la cobertura de [Eqpcare].[lc]. Una combinación Proyecto × Modelo × CompTipo SIN límites en lc nunca dispara observado (falso negativo silencioso, pero el guard evita el falso positivo). Diagnóstico: BLOQUE 1 de VALIDACION_SSMS.sql. Acción correctiva = el área carga esos límites; las vistas y las instrucciones ya están listas para absorberlos sin cambios de código.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