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LP/LC/Prom/Sigma/Tendencia/EsRelevante/Inf, + Spark (sparkline ▁▂▃▄▅▆▇█ pre-computado, 1 char por muestra d1..d6, normalizado al rango de la serie; ·=sin muestra). + Spark (sparkline mini para la columna «Tend.»). LIGERA (⛔ ya NO trae la columna Grafico). Por defecto WHERE EsRelevante=1; el central pinta d1..d6 + Spark. Trae además Acumulado (Σvida = Σ del ppm del metal en TODAS las muestras no-DDI del componente; proxy de desgaste acumulado) y NmAcum (nº de muestras sumadas) — SELECT * ya las incluye; Σvida solo para metales de desgaste (⛔ no V100/TBN).</w:t>
      </w:r>
    </w:p>
    <w:p>
      <w:r>
        <w:t>- vw_TendenciaGrafico — el GRÁFICO de tendencia VERTICAL pre-armado (columna Grafico, multi-línea: × a la altura del valor, fechas en X, líneas ······=LC/------=LP, etiqueta ×valor). PESADA → consúltala SOLO de 1 componente al pedir «el gráfico»: SELECT Grafico FROM vw_TendenciaGrafico WHERE Equipo='..' AND Parametro='..' AND Compartimiento LIKE '%..%'. ⛔ NUNCA multi-componente (payload) ni la regeneres; el central la copia en bloque ```.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(Historial/Diagnostico/Tendencia)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