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+ Grafico (gráfico VERTICAL PRE-ARMADO multi-línea: × a la altura del valor (eje Y), fechas en X, líneas ······=LC/------=LP rotuladas, etiqueta ×valor en cada punto). Por defecto WHERE EsRelevante=1; el central pinta d1..d6; el GRÁFICO = COPIA la columna Grafico de la fila relevante (Spark = versión mini para la columna Tend.). ⛔ NUNCA regenera ninguno.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