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</w:rPr>
        <w:drawing>
          <wp:inline distB="114300" distT="114300" distL="114300" distR="114300">
            <wp:extent cx="2868450" cy="4952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961" l="415" r="415" t="42042"/>
                    <a:stretch>
                      <a:fillRect/>
                    </a:stretch>
                  </pic:blipFill>
                  <pic:spPr>
                    <a:xfrm>
                      <a:off x="0" y="0"/>
                      <a:ext cx="2868450" cy="49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/>
      </w:pPr>
      <w:bookmarkStart w:colFirst="0" w:colLast="0" w:name="_ykfu8ufaa83s" w:id="0"/>
      <w:bookmarkEnd w:id="0"/>
      <w:r w:rsidDel="00000000" w:rsidR="00000000" w:rsidRPr="00000000">
        <w:rPr>
          <w:rtl w:val="0"/>
        </w:rPr>
        <w:t xml:space="preserve">Aceptación de Modelos y Diagramas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_________________________________________________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Nombre de miembro de Phantom:</w:t>
      </w: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Mediante el presente documento, se acepta de forma escrita que los modelos de entidad relación, modelos relacional, diagramas de contexto, diagramas de caso de uso, bosquejos de interfaz, y tablas de prioridad, fueron validados por los miembros del equipo de NatGas.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710"/>
        <w:tblGridChange w:id="0">
          <w:tblGrid>
            <w:gridCol w:w="4665"/>
            <w:gridCol w:w="471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___________________________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(si aplica):_____________________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Firma: </w:t>
            </w: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Firma (si aplica):_______________________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