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5533" w:rsidRDefault="00AA4D72">
      <w:pPr>
        <w:spacing w:before="1800" w:after="200"/>
        <w:jc w:val="center"/>
      </w:pPr>
      <w:r>
        <w:rPr>
          <w:b/>
          <w:bCs/>
          <w:color w:val="534AB7"/>
          <w:sz w:val="36"/>
          <w:szCs w:val="36"/>
        </w:rPr>
        <w:t>POLÍTICA DE GESTIÓN DE TOKENS DE ACCESO</w:t>
      </w:r>
    </w:p>
    <w:p w:rsidR="009E5533" w:rsidRDefault="00AA4D72">
      <w:pPr>
        <w:spacing w:after="1200"/>
        <w:jc w:val="center"/>
      </w:pPr>
      <w:r>
        <w:rPr>
          <w:i/>
          <w:iCs/>
          <w:color w:val="888888"/>
          <w:sz w:val="24"/>
          <w:szCs w:val="24"/>
        </w:rPr>
        <w:t>sqa_validator — Distribución vía Azure Artifacts</w:t>
      </w:r>
    </w:p>
    <w:tbl>
      <w:tblPr>
        <w:tblW w:w="7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4500"/>
      </w:tblGrid>
      <w:tr w:rsidR="009E553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E5533" w:rsidRDefault="00AA4D72">
            <w:r>
              <w:rPr>
                <w:b/>
                <w:bCs/>
                <w:color w:val="1D1D1F"/>
                <w:sz w:val="18"/>
                <w:szCs w:val="18"/>
              </w:rPr>
              <w:t>Versión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E5533" w:rsidRDefault="00AA4D72">
            <w:r>
              <w:rPr>
                <w:color w:val="1D1D1F"/>
                <w:sz w:val="18"/>
                <w:szCs w:val="18"/>
              </w:rPr>
              <w:t>1.0</w:t>
            </w:r>
          </w:p>
        </w:tc>
      </w:tr>
      <w:tr w:rsidR="009E553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E5533" w:rsidRDefault="00AA4D72">
            <w:r>
              <w:rPr>
                <w:b/>
                <w:bCs/>
                <w:color w:val="1D1D1F"/>
                <w:sz w:val="18"/>
                <w:szCs w:val="18"/>
              </w:rPr>
              <w:t>Fecha de emisión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E5533" w:rsidRDefault="002134DF">
            <w:r>
              <w:rPr>
                <w:color w:val="1D1D1F"/>
                <w:sz w:val="18"/>
                <w:szCs w:val="18"/>
              </w:rPr>
              <w:t>Mayo</w:t>
            </w:r>
            <w:r w:rsidR="00AA4D72">
              <w:rPr>
                <w:color w:val="1D1D1F"/>
                <w:sz w:val="18"/>
                <w:szCs w:val="18"/>
              </w:rPr>
              <w:t xml:space="preserve"> 2026</w:t>
            </w:r>
          </w:p>
        </w:tc>
      </w:tr>
      <w:tr w:rsidR="009E553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E5533" w:rsidRDefault="00AA4D72">
            <w:r>
              <w:rPr>
                <w:b/>
                <w:bCs/>
                <w:color w:val="1D1D1F"/>
                <w:sz w:val="18"/>
                <w:szCs w:val="18"/>
              </w:rPr>
              <w:t>Propietario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E5533" w:rsidRDefault="002134DF">
            <w:r>
              <w:rPr>
                <w:color w:val="1D1D1F"/>
                <w:sz w:val="18"/>
                <w:szCs w:val="18"/>
              </w:rPr>
              <w:t>Equipo SQA</w:t>
            </w:r>
          </w:p>
        </w:tc>
      </w:tr>
      <w:tr w:rsidR="009E553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E5533" w:rsidRDefault="00AA4D72">
            <w:r>
              <w:rPr>
                <w:b/>
                <w:bCs/>
                <w:color w:val="1D1D1F"/>
                <w:sz w:val="18"/>
                <w:szCs w:val="18"/>
              </w:rPr>
              <w:t>Aplica a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E5533" w:rsidRDefault="00AA4D72">
            <w:r>
              <w:rPr>
                <w:color w:val="1D1D1F"/>
                <w:sz w:val="18"/>
                <w:szCs w:val="18"/>
              </w:rPr>
              <w:t>Tokens de Azure Artifacts para sqa_validator</w:t>
            </w:r>
          </w:p>
        </w:tc>
      </w:tr>
      <w:tr w:rsidR="009E553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E5533" w:rsidRDefault="00AA4D72">
            <w:r>
              <w:rPr>
                <w:b/>
                <w:bCs/>
                <w:color w:val="1D1D1F"/>
                <w:sz w:val="18"/>
                <w:szCs w:val="18"/>
              </w:rPr>
              <w:t>Confidencialidad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E5533" w:rsidRDefault="00AA4D72">
            <w:r>
              <w:rPr>
                <w:color w:val="1D1D1F"/>
                <w:sz w:val="18"/>
                <w:szCs w:val="18"/>
              </w:rPr>
              <w:t>Interno — Uso restringido</w:t>
            </w:r>
          </w:p>
        </w:tc>
      </w:tr>
      <w:tr w:rsidR="009E553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E5533" w:rsidRDefault="00AA4D72">
            <w:r>
              <w:rPr>
                <w:b/>
                <w:bCs/>
                <w:color w:val="1D1D1F"/>
                <w:sz w:val="18"/>
                <w:szCs w:val="18"/>
              </w:rPr>
              <w:t>Próxima revisión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E5533" w:rsidRDefault="002134DF">
            <w:r>
              <w:rPr>
                <w:color w:val="1D1D1F"/>
                <w:sz w:val="18"/>
                <w:szCs w:val="18"/>
              </w:rPr>
              <w:t>Julio 2026</w:t>
            </w:r>
          </w:p>
        </w:tc>
      </w:tr>
    </w:tbl>
    <w:p w:rsidR="009E5533" w:rsidRDefault="009E5533">
      <w:pPr>
        <w:pageBreakBefore/>
      </w:pPr>
    </w:p>
    <w:p w:rsidR="009E5533" w:rsidRDefault="00AA4D72">
      <w:pPr>
        <w:pStyle w:val="Ttulo1"/>
      </w:pPr>
      <w:r>
        <w:t>1. Propósito</w:t>
      </w:r>
    </w:p>
    <w:p w:rsidR="009E5533" w:rsidRDefault="00AA4D72">
      <w:pPr>
        <w:spacing w:after="120"/>
        <w:jc w:val="both"/>
      </w:pPr>
      <w:r>
        <w:t>Esta política define los lineamientos para la generación, almacenamiento, rotación, auditoría y revocación de los Personal Access Tokens (PAT) utilizados para el consumo de la librería s</w:t>
      </w:r>
      <w:r>
        <w:t>qa_validator publicada en Azure Artifacts.</w:t>
      </w:r>
    </w:p>
    <w:p w:rsidR="009E5533" w:rsidRDefault="00AA4D72">
      <w:pPr>
        <w:spacing w:after="120"/>
        <w:jc w:val="both"/>
      </w:pPr>
      <w:r>
        <w:t>El objetivo es garantizar que el acceso al repositorio privado de paquetes mantenga los principios de mínimo privilegio, trazabilidad y revocabilidad, alineados con marcos internacionales de seguridad de la inform</w:t>
      </w:r>
      <w:r>
        <w:t>ación.</w:t>
      </w:r>
    </w:p>
    <w:p w:rsidR="009E5533" w:rsidRDefault="00AA4D72">
      <w:pPr>
        <w:pStyle w:val="Ttulo1"/>
      </w:pPr>
      <w:r>
        <w:t>2. Alcance</w:t>
      </w:r>
    </w:p>
    <w:p w:rsidR="009E5533" w:rsidRDefault="00AA4D72">
      <w:pPr>
        <w:spacing w:after="120"/>
        <w:jc w:val="both"/>
      </w:pPr>
      <w:r>
        <w:t>Esta política aplica a todos los consumidores autorizados de la librería sqa_validator, incluyendo:</w:t>
      </w:r>
    </w:p>
    <w:p w:rsidR="009E5533" w:rsidRDefault="00AA4D72">
      <w:pPr>
        <w:pStyle w:val="Prrafodelista"/>
        <w:numPr>
          <w:ilvl w:val="0"/>
          <w:numId w:val="2"/>
        </w:numPr>
        <w:spacing w:after="80"/>
      </w:pPr>
      <w:r>
        <w:t>Workspaces productivos en Microsoft Fabric</w:t>
      </w:r>
    </w:p>
    <w:p w:rsidR="009E5533" w:rsidRDefault="00AA4D72">
      <w:pPr>
        <w:pStyle w:val="Prrafodelista"/>
        <w:numPr>
          <w:ilvl w:val="0"/>
          <w:numId w:val="2"/>
        </w:numPr>
        <w:spacing w:after="80"/>
      </w:pPr>
      <w:r>
        <w:t>Workspaces de desarrollo y ambiente de pruebas</w:t>
      </w:r>
    </w:p>
    <w:p w:rsidR="009E5533" w:rsidRDefault="00AA4D72">
      <w:pPr>
        <w:pStyle w:val="Prrafodelista"/>
        <w:numPr>
          <w:ilvl w:val="0"/>
          <w:numId w:val="2"/>
        </w:numPr>
        <w:spacing w:after="80"/>
      </w:pPr>
      <w:r>
        <w:t>Pipelines de integración continua (CI/CD)</w:t>
      </w:r>
    </w:p>
    <w:p w:rsidR="009E5533" w:rsidRDefault="00AA4D72">
      <w:pPr>
        <w:pStyle w:val="Prrafodelista"/>
        <w:numPr>
          <w:ilvl w:val="0"/>
          <w:numId w:val="2"/>
        </w:numPr>
        <w:spacing w:after="80"/>
      </w:pPr>
      <w:r>
        <w:t>Equipos externos contratados con acuerdos de confidencialidad vigentes</w:t>
      </w:r>
    </w:p>
    <w:p w:rsidR="009E5533" w:rsidRDefault="00AA4D72">
      <w:pPr>
        <w:pStyle w:val="Prrafodelista"/>
        <w:numPr>
          <w:ilvl w:val="0"/>
          <w:numId w:val="2"/>
        </w:numPr>
        <w:spacing w:after="80"/>
      </w:pPr>
      <w:r>
        <w:t>Personal interno SQA con responsabilidades sobre el ciclo de vida del paquete</w:t>
      </w:r>
    </w:p>
    <w:p w:rsidR="009E5533" w:rsidRDefault="00AA4D72">
      <w:pPr>
        <w:pStyle w:val="Ttulo1"/>
      </w:pPr>
      <w:r>
        <w:t>3. Tipos de Token</w:t>
      </w:r>
    </w:p>
    <w:p w:rsidR="009E5533" w:rsidRDefault="00AA4D72">
      <w:pPr>
        <w:spacing w:after="120"/>
        <w:jc w:val="both"/>
      </w:pPr>
      <w:r>
        <w:t xml:space="preserve">Se definen tres categorías de tokens según el propósito de uso, con vigencias y permisos </w:t>
      </w:r>
      <w:r>
        <w:t>diferenciados: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700"/>
        <w:gridCol w:w="1500"/>
        <w:gridCol w:w="1900"/>
        <w:gridCol w:w="2760"/>
      </w:tblGrid>
      <w:tr w:rsidR="009E553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534AB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E5533" w:rsidRDefault="00AA4D72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534AB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E5533" w:rsidRDefault="00AA4D72">
            <w:r>
              <w:rPr>
                <w:b/>
                <w:bCs/>
                <w:color w:val="FFFFFF"/>
                <w:sz w:val="18"/>
                <w:szCs w:val="18"/>
              </w:rPr>
              <w:t>Uso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534AB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E5533" w:rsidRDefault="00AA4D72">
            <w:r>
              <w:rPr>
                <w:b/>
                <w:bCs/>
                <w:color w:val="FFFFFF"/>
                <w:sz w:val="18"/>
                <w:szCs w:val="18"/>
              </w:rPr>
              <w:t>Vigencia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534AB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E5533" w:rsidRDefault="00AA4D72">
            <w:r>
              <w:rPr>
                <w:b/>
                <w:bCs/>
                <w:color w:val="FFFFFF"/>
                <w:sz w:val="18"/>
                <w:szCs w:val="18"/>
              </w:rPr>
              <w:t>Almacenamiento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534AB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E5533" w:rsidRDefault="00AA4D72">
            <w:r>
              <w:rPr>
                <w:b/>
                <w:bCs/>
                <w:color w:val="FFFFFF"/>
                <w:sz w:val="18"/>
                <w:szCs w:val="18"/>
              </w:rPr>
              <w:t>Generado por</w:t>
            </w:r>
          </w:p>
        </w:tc>
      </w:tr>
      <w:tr w:rsidR="009E553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E5533" w:rsidRDefault="00AA4D72">
            <w:r>
              <w:rPr>
                <w:b/>
                <w:bCs/>
                <w:color w:val="534AB7"/>
                <w:sz w:val="18"/>
                <w:szCs w:val="18"/>
              </w:rPr>
              <w:t>Tipo A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E5533" w:rsidRDefault="00AA4D72">
            <w:r>
              <w:rPr>
                <w:color w:val="1D1D1F"/>
                <w:sz w:val="18"/>
                <w:szCs w:val="18"/>
              </w:rPr>
              <w:t>Producción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E5533" w:rsidRDefault="00AA4D72">
            <w:r>
              <w:rPr>
                <w:color w:val="1D1D1F"/>
                <w:sz w:val="18"/>
                <w:szCs w:val="18"/>
              </w:rPr>
              <w:t>90 días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E5533" w:rsidRDefault="00AA4D72">
            <w:r>
              <w:rPr>
                <w:color w:val="1D1D1F"/>
                <w:sz w:val="18"/>
                <w:szCs w:val="18"/>
              </w:rPr>
              <w:t>Azure Key Vault del cliente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E5533" w:rsidRDefault="00AA4D72">
            <w:r>
              <w:rPr>
                <w:color w:val="1D1D1F"/>
                <w:sz w:val="18"/>
                <w:szCs w:val="18"/>
              </w:rPr>
              <w:t>Líder técnico SQA</w:t>
            </w:r>
          </w:p>
        </w:tc>
      </w:tr>
      <w:tr w:rsidR="009E553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E5533" w:rsidRDefault="00AA4D72">
            <w:r>
              <w:rPr>
                <w:b/>
                <w:bCs/>
                <w:color w:val="534AB7"/>
                <w:sz w:val="18"/>
                <w:szCs w:val="18"/>
              </w:rPr>
              <w:t>Tipo B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E5533" w:rsidRDefault="00AA4D72">
            <w:r>
              <w:rPr>
                <w:color w:val="1D1D1F"/>
                <w:sz w:val="18"/>
                <w:szCs w:val="18"/>
              </w:rPr>
              <w:t>Desarrollo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E5533" w:rsidRDefault="00AA4D72">
            <w:r>
              <w:rPr>
                <w:color w:val="1D1D1F"/>
                <w:sz w:val="18"/>
                <w:szCs w:val="18"/>
              </w:rPr>
              <w:t>30 días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E5533" w:rsidRDefault="00AA4D72">
            <w:r>
              <w:rPr>
                <w:color w:val="1D1D1F"/>
                <w:sz w:val="18"/>
                <w:szCs w:val="18"/>
              </w:rPr>
              <w:t>Azure Key Vault del cliente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E5533" w:rsidRDefault="00AA4D72">
            <w:r>
              <w:rPr>
                <w:color w:val="1D1D1F"/>
                <w:sz w:val="18"/>
                <w:szCs w:val="18"/>
              </w:rPr>
              <w:t>Desarrollador autorizado SQA</w:t>
            </w:r>
          </w:p>
        </w:tc>
      </w:tr>
      <w:tr w:rsidR="009E553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E5533" w:rsidRDefault="00AA4D72">
            <w:r>
              <w:rPr>
                <w:b/>
                <w:bCs/>
                <w:color w:val="534AB7"/>
                <w:sz w:val="18"/>
                <w:szCs w:val="18"/>
              </w:rPr>
              <w:t>Tipo C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E5533" w:rsidRDefault="00AA4D72">
            <w:r>
              <w:rPr>
                <w:color w:val="1D1D1F"/>
                <w:sz w:val="18"/>
                <w:szCs w:val="18"/>
              </w:rPr>
              <w:t>CI/CD Pipeline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E5533" w:rsidRDefault="00AA4D72">
            <w:r>
              <w:rPr>
                <w:color w:val="1D1D1F"/>
                <w:sz w:val="18"/>
                <w:szCs w:val="18"/>
              </w:rPr>
              <w:t>7 días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E5533" w:rsidRDefault="00AA4D72">
            <w:r>
              <w:rPr>
                <w:color w:val="1D1D1F"/>
                <w:sz w:val="18"/>
                <w:szCs w:val="18"/>
              </w:rPr>
              <w:t>Variables seguras del pipeline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E5533" w:rsidRDefault="00AA4D72">
            <w:r>
              <w:rPr>
                <w:color w:val="1D1D1F"/>
                <w:sz w:val="18"/>
                <w:szCs w:val="18"/>
              </w:rPr>
              <w:t>Automatizado (script semanal)</w:t>
            </w:r>
          </w:p>
        </w:tc>
      </w:tr>
    </w:tbl>
    <w:p w:rsidR="009E5533" w:rsidRDefault="009E5533">
      <w:pPr>
        <w:spacing w:after="100"/>
      </w:pPr>
    </w:p>
    <w:p w:rsidR="009E5533" w:rsidRDefault="00AA4D72">
      <w:pPr>
        <w:spacing w:after="120"/>
        <w:jc w:val="both"/>
      </w:pPr>
      <w:r>
        <w:rPr>
          <w:b/>
          <w:bCs/>
        </w:rPr>
        <w:t xml:space="preserve">Permisos uniformes: </w:t>
      </w:r>
      <w:r>
        <w:t>todos los tokens otorgan únicamente lectura del feed (Packaging Read). Ningún token otorga permisos de escritura, eliminación o administración del repositorio.</w:t>
      </w:r>
    </w:p>
    <w:p w:rsidR="009E5533" w:rsidRDefault="00AA4D72">
      <w:pPr>
        <w:pStyle w:val="Ttulo1"/>
      </w:pPr>
      <w:r>
        <w:t>4. Proceso de Generación</w:t>
      </w:r>
    </w:p>
    <w:p w:rsidR="009E5533" w:rsidRDefault="00AA4D72">
      <w:pPr>
        <w:spacing w:after="120"/>
        <w:jc w:val="both"/>
      </w:pPr>
      <w:r>
        <w:t>La generación de un nuevo token sigue un flujo formal de cinco pasos:</w:t>
      </w:r>
    </w:p>
    <w:p w:rsidR="009E5533" w:rsidRDefault="00AA4D72">
      <w:pPr>
        <w:pStyle w:val="Ttulo3"/>
      </w:pPr>
      <w:r>
        <w:t>Paso 1 — Solicitud formal</w:t>
      </w:r>
    </w:p>
    <w:p w:rsidR="009E5533" w:rsidRDefault="00AA4D72">
      <w:pPr>
        <w:spacing w:after="120"/>
        <w:jc w:val="both"/>
      </w:pPr>
      <w:r>
        <w:t>El interesado envía una so</w:t>
      </w:r>
      <w:r w:rsidR="002134DF">
        <w:t>licitud a valeria.rivera@sqasa.co</w:t>
      </w:r>
      <w:r>
        <w:t xml:space="preserve"> indicando:</w:t>
      </w:r>
    </w:p>
    <w:p w:rsidR="009E5533" w:rsidRDefault="00AA4D72">
      <w:pPr>
        <w:pStyle w:val="Prrafodelista"/>
        <w:numPr>
          <w:ilvl w:val="0"/>
          <w:numId w:val="2"/>
        </w:numPr>
        <w:spacing w:after="80"/>
      </w:pPr>
      <w:r>
        <w:t>Nombre completo del solicitante y área a la que pertenece</w:t>
      </w:r>
    </w:p>
    <w:p w:rsidR="009E5533" w:rsidRDefault="00AA4D72">
      <w:pPr>
        <w:pStyle w:val="Prrafodelista"/>
        <w:numPr>
          <w:ilvl w:val="0"/>
          <w:numId w:val="2"/>
        </w:numPr>
        <w:spacing w:after="80"/>
      </w:pPr>
      <w:r>
        <w:t>Tipo de</w:t>
      </w:r>
      <w:r>
        <w:t xml:space="preserve"> token requerido (A, B o C)</w:t>
      </w:r>
    </w:p>
    <w:p w:rsidR="009E5533" w:rsidRDefault="00AA4D72">
      <w:pPr>
        <w:pStyle w:val="Prrafodelista"/>
        <w:numPr>
          <w:ilvl w:val="0"/>
          <w:numId w:val="2"/>
        </w:numPr>
        <w:spacing w:after="80"/>
      </w:pPr>
      <w:r>
        <w:t>Justificación del uso y contexto del proyecto</w:t>
      </w:r>
    </w:p>
    <w:p w:rsidR="009E5533" w:rsidRDefault="00AA4D72">
      <w:pPr>
        <w:pStyle w:val="Prrafodelista"/>
        <w:numPr>
          <w:ilvl w:val="0"/>
          <w:numId w:val="2"/>
        </w:numPr>
        <w:spacing w:after="80"/>
      </w:pPr>
      <w:r>
        <w:t>Workspace, pipeline o sistema destino</w:t>
      </w:r>
    </w:p>
    <w:p w:rsidR="009E5533" w:rsidRDefault="00AA4D72">
      <w:pPr>
        <w:pStyle w:val="Prrafodelista"/>
        <w:numPr>
          <w:ilvl w:val="0"/>
          <w:numId w:val="2"/>
        </w:numPr>
        <w:spacing w:after="80"/>
      </w:pPr>
      <w:r>
        <w:t>Periodo estimado de uso</w:t>
      </w:r>
    </w:p>
    <w:p w:rsidR="009E5533" w:rsidRDefault="00AA4D72">
      <w:pPr>
        <w:pStyle w:val="Ttulo3"/>
      </w:pPr>
      <w:r>
        <w:lastRenderedPageBreak/>
        <w:t>Paso 2 — Aprobación</w:t>
      </w:r>
    </w:p>
    <w:p w:rsidR="009E5533" w:rsidRDefault="00AA4D72">
      <w:pPr>
        <w:spacing w:after="120"/>
        <w:jc w:val="both"/>
      </w:pPr>
      <w:r>
        <w:t xml:space="preserve">El líder técnico SQA evalúa la solicitud en un plazo máximo de 24 horas hábiles. Las solicitudes de </w:t>
      </w:r>
      <w:r>
        <w:t>tokens Tipo A requieren además aprobación de la gerencia.</w:t>
      </w:r>
    </w:p>
    <w:p w:rsidR="009E5533" w:rsidRDefault="00AA4D72">
      <w:pPr>
        <w:pStyle w:val="Ttulo3"/>
      </w:pPr>
      <w:r>
        <w:t>Paso 3 — Generación técnica</w:t>
      </w:r>
    </w:p>
    <w:p w:rsidR="009E5533" w:rsidRDefault="00AA4D72">
      <w:pPr>
        <w:spacing w:after="120"/>
        <w:jc w:val="both"/>
      </w:pPr>
      <w:r>
        <w:t>Una vez aprobada, el responsable autorizado genera el token desde el portal de Azure DevOps siguiendo la ruta: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E553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24" w:space="0" w:color="534AB7"/>
            </w:tcBorders>
            <w:shd w:val="clear" w:color="auto" w:fill="EEEDFE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9E5533" w:rsidRDefault="00AA4D72">
            <w:pPr>
              <w:jc w:val="both"/>
            </w:pPr>
            <w:r>
              <w:rPr>
                <w:color w:val="1D1D1F"/>
                <w:sz w:val="19"/>
                <w:szCs w:val="19"/>
              </w:rPr>
              <w:t>Portal Azure DevOps → User Settings → Personal Access Token</w:t>
            </w:r>
            <w:r>
              <w:rPr>
                <w:color w:val="1D1D1F"/>
                <w:sz w:val="19"/>
                <w:szCs w:val="19"/>
              </w:rPr>
              <w:t>s → New Token</w:t>
            </w:r>
          </w:p>
        </w:tc>
      </w:tr>
    </w:tbl>
    <w:p w:rsidR="009E5533" w:rsidRDefault="00AA4D72">
      <w:pPr>
        <w:spacing w:after="120"/>
        <w:jc w:val="both"/>
      </w:pPr>
      <w:r>
        <w:t>Se configura con los permisos mínimos necesarios (Packaging Read) y la vigencia correspondiente al tipo solicitado.</w:t>
      </w:r>
    </w:p>
    <w:p w:rsidR="009E5533" w:rsidRDefault="00AA4D72">
      <w:pPr>
        <w:pStyle w:val="Ttulo3"/>
      </w:pPr>
      <w:r>
        <w:t>Paso 4 — Entrega segura</w:t>
      </w:r>
      <w:bookmarkStart w:id="0" w:name="_GoBack"/>
      <w:bookmarkEnd w:id="0"/>
    </w:p>
    <w:p w:rsidR="009E5533" w:rsidRDefault="00AA4D72">
      <w:pPr>
        <w:spacing w:after="120"/>
        <w:jc w:val="both"/>
      </w:pPr>
      <w:r>
        <w:t>La entrega del token al consumidor se realiza por canales seguros únicamente. Está prohibida la transmisión por correo electrónico en texto plano, mensajería instantánea o cualquier canal sin cifrado de extremo a extremo.</w:t>
      </w:r>
    </w:p>
    <w:p w:rsidR="009E5533" w:rsidRDefault="00AA4D72">
      <w:pPr>
        <w:spacing w:after="120"/>
        <w:jc w:val="both"/>
      </w:pPr>
      <w:r>
        <w:t>Canales autorizados:</w:t>
      </w:r>
    </w:p>
    <w:p w:rsidR="009E5533" w:rsidRDefault="00AA4D72">
      <w:pPr>
        <w:pStyle w:val="Prrafodelista"/>
        <w:numPr>
          <w:ilvl w:val="0"/>
          <w:numId w:val="2"/>
        </w:numPr>
        <w:spacing w:after="80"/>
      </w:pPr>
      <w:r>
        <w:t>Azure Key Vau</w:t>
      </w:r>
      <w:r>
        <w:t>lt compartido entre SQA y el consumidor</w:t>
      </w:r>
    </w:p>
    <w:p w:rsidR="009E5533" w:rsidRDefault="00AA4D72">
      <w:pPr>
        <w:pStyle w:val="Prrafodelista"/>
        <w:numPr>
          <w:ilvl w:val="0"/>
          <w:numId w:val="2"/>
        </w:numPr>
        <w:spacing w:after="80"/>
      </w:pPr>
      <w:r>
        <w:t>Herramientas de gestión de secretos (1Password, Bitwarden, HashiCorp Vault)</w:t>
      </w:r>
    </w:p>
    <w:p w:rsidR="009E5533" w:rsidRDefault="00AA4D72">
      <w:pPr>
        <w:pStyle w:val="Prrafodelista"/>
        <w:numPr>
          <w:ilvl w:val="0"/>
          <w:numId w:val="2"/>
        </w:numPr>
        <w:spacing w:after="80"/>
      </w:pPr>
      <w:r>
        <w:t>Integración directa vía Managed Identity cuando sea técnicamente viable</w:t>
      </w:r>
    </w:p>
    <w:p w:rsidR="009E5533" w:rsidRDefault="00AA4D72">
      <w:pPr>
        <w:pStyle w:val="Ttulo3"/>
      </w:pPr>
      <w:r>
        <w:t>Paso 5 — Registro en bitácora</w:t>
      </w:r>
    </w:p>
    <w:p w:rsidR="009E5533" w:rsidRDefault="00AA4D72">
      <w:pPr>
        <w:spacing w:after="120"/>
        <w:jc w:val="both"/>
      </w:pPr>
      <w:r>
        <w:t>Todo token emitido se registra en la bitácora interna de SQA con los siguientes datos (nunca el valor del token):</w:t>
      </w:r>
    </w:p>
    <w:p w:rsidR="009E5533" w:rsidRDefault="00AA4D72">
      <w:pPr>
        <w:pStyle w:val="Prrafodelista"/>
        <w:numPr>
          <w:ilvl w:val="0"/>
          <w:numId w:val="2"/>
        </w:numPr>
        <w:spacing w:after="80"/>
      </w:pPr>
      <w:r>
        <w:t>Identificador único del token</w:t>
      </w:r>
    </w:p>
    <w:p w:rsidR="009E5533" w:rsidRDefault="00AA4D72">
      <w:pPr>
        <w:pStyle w:val="Prrafodelista"/>
        <w:numPr>
          <w:ilvl w:val="0"/>
          <w:numId w:val="2"/>
        </w:numPr>
        <w:spacing w:after="80"/>
      </w:pPr>
      <w:r>
        <w:t>Fecha de emisión y fecha de vencimiento</w:t>
      </w:r>
    </w:p>
    <w:p w:rsidR="009E5533" w:rsidRDefault="00AA4D72">
      <w:pPr>
        <w:pStyle w:val="Prrafodelista"/>
        <w:numPr>
          <w:ilvl w:val="0"/>
          <w:numId w:val="2"/>
        </w:numPr>
        <w:spacing w:after="80"/>
      </w:pPr>
      <w:r>
        <w:t>Responsable solicitante y aprobador</w:t>
      </w:r>
    </w:p>
    <w:p w:rsidR="009E5533" w:rsidRDefault="00AA4D72">
      <w:pPr>
        <w:pStyle w:val="Prrafodelista"/>
        <w:numPr>
          <w:ilvl w:val="0"/>
          <w:numId w:val="2"/>
        </w:numPr>
        <w:spacing w:after="80"/>
      </w:pPr>
      <w:r>
        <w:t>Tipo, propósito y workspace destino</w:t>
      </w:r>
    </w:p>
    <w:p w:rsidR="009E5533" w:rsidRDefault="00AA4D72">
      <w:pPr>
        <w:pStyle w:val="Ttulo1"/>
      </w:pPr>
      <w:r>
        <w:t>5. Almacenamiento Seguro</w:t>
      </w:r>
    </w:p>
    <w:p w:rsidR="009E5533" w:rsidRDefault="00AA4D72">
      <w:pPr>
        <w:spacing w:after="120"/>
        <w:jc w:val="both"/>
      </w:pPr>
      <w:r>
        <w:t>El almacenamiento de tokens debe seguir las prácticas establecidas. Se distinguen acciones prohibidas y acciones obligatorias:</w:t>
      </w:r>
    </w:p>
    <w:p w:rsidR="009E5533" w:rsidRDefault="00AA4D72">
      <w:pPr>
        <w:pStyle w:val="Ttulo3"/>
      </w:pPr>
      <w:r>
        <w:t>Acciones prohibidas</w:t>
      </w:r>
    </w:p>
    <w:p w:rsidR="009E5533" w:rsidRDefault="00AA4D72">
      <w:pPr>
        <w:pStyle w:val="Prrafodelista"/>
        <w:numPr>
          <w:ilvl w:val="0"/>
          <w:numId w:val="2"/>
        </w:numPr>
        <w:spacing w:after="80"/>
      </w:pPr>
      <w:r>
        <w:t>Almacenar tokens en código fuente o archivos de configuración versionados</w:t>
      </w:r>
    </w:p>
    <w:p w:rsidR="009E5533" w:rsidRDefault="00AA4D72">
      <w:pPr>
        <w:pStyle w:val="Prrafodelista"/>
        <w:numPr>
          <w:ilvl w:val="0"/>
          <w:numId w:val="2"/>
        </w:numPr>
        <w:spacing w:after="80"/>
      </w:pPr>
      <w:r>
        <w:t>Compartir tokens por chat, correo o cualquier canal sin cifrado</w:t>
      </w:r>
    </w:p>
    <w:p w:rsidR="009E5533" w:rsidRDefault="00AA4D72">
      <w:pPr>
        <w:pStyle w:val="Prrafodelista"/>
        <w:numPr>
          <w:ilvl w:val="0"/>
          <w:numId w:val="2"/>
        </w:numPr>
        <w:spacing w:after="80"/>
      </w:pPr>
      <w:r>
        <w:t>Reutilizar el mismo token entre entornos diferentes</w:t>
      </w:r>
    </w:p>
    <w:p w:rsidR="009E5533" w:rsidRDefault="00AA4D72">
      <w:pPr>
        <w:pStyle w:val="Prrafodelista"/>
        <w:numPr>
          <w:ilvl w:val="0"/>
          <w:numId w:val="2"/>
        </w:numPr>
        <w:spacing w:after="80"/>
      </w:pPr>
      <w:r>
        <w:t>Almacenar tokens en archivos .env sin cifrar</w:t>
      </w:r>
    </w:p>
    <w:p w:rsidR="009E5533" w:rsidRDefault="00AA4D72">
      <w:pPr>
        <w:pStyle w:val="Prrafodelista"/>
        <w:numPr>
          <w:ilvl w:val="0"/>
          <w:numId w:val="2"/>
        </w:numPr>
        <w:spacing w:after="80"/>
      </w:pPr>
      <w:r>
        <w:t>Versionar archivos que contengan tokens en repositorios Git</w:t>
      </w:r>
    </w:p>
    <w:p w:rsidR="009E5533" w:rsidRDefault="00AA4D72">
      <w:pPr>
        <w:pStyle w:val="Prrafodelista"/>
        <w:numPr>
          <w:ilvl w:val="0"/>
          <w:numId w:val="2"/>
        </w:numPr>
        <w:spacing w:after="80"/>
      </w:pPr>
      <w:r>
        <w:t xml:space="preserve">Mostrar tokens en pantalla durante </w:t>
      </w:r>
      <w:r>
        <w:t>demostraciones o capacitaciones</w:t>
      </w:r>
    </w:p>
    <w:p w:rsidR="009E5533" w:rsidRDefault="00AA4D72">
      <w:pPr>
        <w:pStyle w:val="Ttulo3"/>
      </w:pPr>
      <w:r>
        <w:t>Acciones obligatorias</w:t>
      </w:r>
    </w:p>
    <w:p w:rsidR="009E5533" w:rsidRDefault="00AA4D72">
      <w:pPr>
        <w:pStyle w:val="Prrafodelista"/>
        <w:numPr>
          <w:ilvl w:val="0"/>
          <w:numId w:val="2"/>
        </w:numPr>
        <w:spacing w:after="80"/>
      </w:pPr>
      <w:r>
        <w:t>Almacenar tokens en Azure Key Vault con acceso restringido</w:t>
      </w:r>
    </w:p>
    <w:p w:rsidR="009E5533" w:rsidRDefault="00AA4D72">
      <w:pPr>
        <w:pStyle w:val="Prrafodelista"/>
        <w:numPr>
          <w:ilvl w:val="0"/>
          <w:numId w:val="2"/>
        </w:numPr>
        <w:spacing w:after="80"/>
      </w:pPr>
      <w:r>
        <w:t>Acceder a los tokens mediante Managed Identity siempre que sea posible</w:t>
      </w:r>
    </w:p>
    <w:p w:rsidR="009E5533" w:rsidRDefault="00AA4D72">
      <w:pPr>
        <w:pStyle w:val="Prrafodelista"/>
        <w:numPr>
          <w:ilvl w:val="0"/>
          <w:numId w:val="2"/>
        </w:numPr>
        <w:spacing w:after="80"/>
      </w:pPr>
      <w:r>
        <w:t>Mantener habilitados los logs de acceso del Key Vault</w:t>
      </w:r>
    </w:p>
    <w:p w:rsidR="009E5533" w:rsidRDefault="00AA4D72">
      <w:pPr>
        <w:pStyle w:val="Prrafodelista"/>
        <w:numPr>
          <w:ilvl w:val="0"/>
          <w:numId w:val="2"/>
        </w:numPr>
        <w:spacing w:after="80"/>
      </w:pPr>
      <w:r>
        <w:t>Implementar rotaci</w:t>
      </w:r>
      <w:r>
        <w:t>ón automática cuando la herramienta lo permita</w:t>
      </w:r>
    </w:p>
    <w:p w:rsidR="009E5533" w:rsidRDefault="00AA4D72">
      <w:pPr>
        <w:pStyle w:val="Prrafodelista"/>
        <w:numPr>
          <w:ilvl w:val="0"/>
          <w:numId w:val="2"/>
        </w:numPr>
        <w:spacing w:after="80"/>
      </w:pPr>
      <w:r>
        <w:t>Aplicar el principio de mínimo privilegio en cada acceso</w:t>
      </w:r>
    </w:p>
    <w:p w:rsidR="009E5533" w:rsidRDefault="00AA4D72">
      <w:pPr>
        <w:pStyle w:val="Ttulo1"/>
      </w:pPr>
      <w:r>
        <w:lastRenderedPageBreak/>
        <w:t>6. Rotación</w:t>
      </w:r>
    </w:p>
    <w:p w:rsidR="009E5533" w:rsidRDefault="00AA4D72">
      <w:pPr>
        <w:spacing w:after="120"/>
        <w:jc w:val="both"/>
      </w:pPr>
      <w:r>
        <w:t>La rotación periódica de tokens es obligatoria y se ejecuta según el calendario establecido por tipo: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200"/>
        <w:gridCol w:w="2700"/>
        <w:gridCol w:w="2760"/>
      </w:tblGrid>
      <w:tr w:rsidR="009E553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534AB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E5533" w:rsidRDefault="00AA4D72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534AB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E5533" w:rsidRDefault="00AA4D72">
            <w:r>
              <w:rPr>
                <w:b/>
                <w:bCs/>
                <w:color w:val="FFFFFF"/>
                <w:sz w:val="18"/>
                <w:szCs w:val="18"/>
              </w:rPr>
              <w:t>Frecuencia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534AB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E5533" w:rsidRDefault="00AA4D72">
            <w:r>
              <w:rPr>
                <w:b/>
                <w:bCs/>
                <w:color w:val="FFFFFF"/>
                <w:sz w:val="18"/>
                <w:szCs w:val="18"/>
              </w:rPr>
              <w:t>Notificación previa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534AB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E5533" w:rsidRDefault="00AA4D72">
            <w:r>
              <w:rPr>
                <w:b/>
                <w:bCs/>
                <w:color w:val="FFFFFF"/>
                <w:sz w:val="18"/>
                <w:szCs w:val="18"/>
              </w:rPr>
              <w:t>Ve</w:t>
            </w:r>
            <w:r>
              <w:rPr>
                <w:b/>
                <w:bCs/>
                <w:color w:val="FFFFFF"/>
                <w:sz w:val="18"/>
                <w:szCs w:val="18"/>
              </w:rPr>
              <w:t>ntana de superposición</w:t>
            </w:r>
          </w:p>
        </w:tc>
      </w:tr>
      <w:tr w:rsidR="009E5533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E5533" w:rsidRDefault="00AA4D72">
            <w:r>
              <w:rPr>
                <w:b/>
                <w:bCs/>
                <w:color w:val="1D1D1F"/>
                <w:sz w:val="18"/>
                <w:szCs w:val="18"/>
              </w:rPr>
              <w:t>Tipo A — Producción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E5533" w:rsidRDefault="00AA4D72">
            <w:r>
              <w:rPr>
                <w:color w:val="1D1D1F"/>
                <w:sz w:val="18"/>
                <w:szCs w:val="18"/>
              </w:rPr>
              <w:t>Cada 90 días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E5533" w:rsidRDefault="00AA4D72">
            <w:r>
              <w:rPr>
                <w:color w:val="1D1D1F"/>
                <w:sz w:val="18"/>
                <w:szCs w:val="18"/>
              </w:rPr>
              <w:t>15 días antes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E5533" w:rsidRDefault="00AA4D72">
            <w:r>
              <w:rPr>
                <w:color w:val="1D1D1F"/>
                <w:sz w:val="18"/>
                <w:szCs w:val="18"/>
              </w:rPr>
              <w:t>7 días (token nuevo y viejo)</w:t>
            </w:r>
          </w:p>
        </w:tc>
      </w:tr>
      <w:tr w:rsidR="009E5533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E5533" w:rsidRDefault="00AA4D72">
            <w:r>
              <w:rPr>
                <w:b/>
                <w:bCs/>
                <w:color w:val="1D1D1F"/>
                <w:sz w:val="18"/>
                <w:szCs w:val="18"/>
              </w:rPr>
              <w:t>Tipo B — Desarrollo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E5533" w:rsidRDefault="00AA4D72">
            <w:r>
              <w:rPr>
                <w:color w:val="1D1D1F"/>
                <w:sz w:val="18"/>
                <w:szCs w:val="18"/>
              </w:rPr>
              <w:t>Cada 30 días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E5533" w:rsidRDefault="00AA4D72">
            <w:r>
              <w:rPr>
                <w:color w:val="1D1D1F"/>
                <w:sz w:val="18"/>
                <w:szCs w:val="18"/>
              </w:rPr>
              <w:t>5 días antes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E5533" w:rsidRDefault="00AA4D72">
            <w:r>
              <w:rPr>
                <w:color w:val="1D1D1F"/>
                <w:sz w:val="18"/>
                <w:szCs w:val="18"/>
              </w:rPr>
              <w:t>2 días</w:t>
            </w:r>
          </w:p>
        </w:tc>
      </w:tr>
      <w:tr w:rsidR="009E5533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E5533" w:rsidRDefault="00AA4D72">
            <w:r>
              <w:rPr>
                <w:b/>
                <w:bCs/>
                <w:color w:val="1D1D1F"/>
                <w:sz w:val="18"/>
                <w:szCs w:val="18"/>
              </w:rPr>
              <w:t>Tipo C — CI/CD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E5533" w:rsidRDefault="00AA4D72">
            <w:r>
              <w:rPr>
                <w:color w:val="1D1D1F"/>
                <w:sz w:val="18"/>
                <w:szCs w:val="18"/>
              </w:rPr>
              <w:t>Cada 7 días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E5533" w:rsidRDefault="00AA4D72">
            <w:r>
              <w:rPr>
                <w:color w:val="1D1D1F"/>
                <w:sz w:val="18"/>
                <w:szCs w:val="18"/>
              </w:rPr>
              <w:t>Automatizada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E5533" w:rsidRDefault="00AA4D72">
            <w:r>
              <w:rPr>
                <w:color w:val="1D1D1F"/>
                <w:sz w:val="18"/>
                <w:szCs w:val="18"/>
              </w:rPr>
              <w:t>Sin superposición (rotación instantánea)</w:t>
            </w:r>
          </w:p>
        </w:tc>
      </w:tr>
    </w:tbl>
    <w:p w:rsidR="009E5533" w:rsidRDefault="009E5533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E553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24" w:space="0" w:color="BA7517"/>
            </w:tcBorders>
            <w:shd w:val="clear" w:color="auto" w:fill="FAEEDA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9E5533" w:rsidRDefault="00AA4D72">
            <w:pPr>
              <w:jc w:val="both"/>
            </w:pPr>
            <w:r>
              <w:rPr>
                <w:color w:val="1D1D1F"/>
                <w:sz w:val="19"/>
                <w:szCs w:val="19"/>
              </w:rPr>
              <w:t>Rotación NO programada: ante cualquier sospecha de compromiso del token, se ejecuta una rotación inmediata siguiendo el procedimiento de revocación descrito en la sección 8.</w:t>
            </w:r>
          </w:p>
        </w:tc>
      </w:tr>
    </w:tbl>
    <w:p w:rsidR="009E5533" w:rsidRDefault="00AA4D72">
      <w:pPr>
        <w:pStyle w:val="Ttulo1"/>
      </w:pPr>
      <w:r>
        <w:t>7. Auditoría y Monitoreo</w:t>
      </w:r>
    </w:p>
    <w:p w:rsidR="009E5533" w:rsidRDefault="00AA4D72">
      <w:pPr>
        <w:spacing w:after="120"/>
        <w:jc w:val="both"/>
      </w:pPr>
      <w:r>
        <w:t>Azure Artifacts mantiene logs detallados de cada operación realizada con los tokens emitidos. Se registra automáticamente:</w:t>
      </w:r>
    </w:p>
    <w:p w:rsidR="009E5533" w:rsidRDefault="00AA4D72">
      <w:pPr>
        <w:pStyle w:val="Prrafodelista"/>
        <w:numPr>
          <w:ilvl w:val="0"/>
          <w:numId w:val="2"/>
        </w:numPr>
        <w:spacing w:after="80"/>
      </w:pPr>
      <w:r>
        <w:t>Fecha y hora exacta de cada descarga del paquete</w:t>
      </w:r>
    </w:p>
    <w:p w:rsidR="009E5533" w:rsidRDefault="00AA4D72">
      <w:pPr>
        <w:pStyle w:val="Prrafodelista"/>
        <w:numPr>
          <w:ilvl w:val="0"/>
          <w:numId w:val="2"/>
        </w:numPr>
        <w:spacing w:after="80"/>
      </w:pPr>
      <w:r>
        <w:t>Dirección IP de origen de la solicitud</w:t>
      </w:r>
    </w:p>
    <w:p w:rsidR="009E5533" w:rsidRDefault="00AA4D72">
      <w:pPr>
        <w:pStyle w:val="Prrafodelista"/>
        <w:numPr>
          <w:ilvl w:val="0"/>
          <w:numId w:val="2"/>
        </w:numPr>
        <w:spacing w:after="80"/>
      </w:pPr>
      <w:r>
        <w:t>Identificador del token utilizado (sin expone</w:t>
      </w:r>
      <w:r>
        <w:t>r su valor)</w:t>
      </w:r>
    </w:p>
    <w:p w:rsidR="009E5533" w:rsidRDefault="00AA4D72">
      <w:pPr>
        <w:pStyle w:val="Prrafodelista"/>
        <w:numPr>
          <w:ilvl w:val="0"/>
          <w:numId w:val="2"/>
        </w:numPr>
        <w:spacing w:after="80"/>
      </w:pPr>
      <w:r>
        <w:t>Versión específica del paquete descargada</w:t>
      </w:r>
    </w:p>
    <w:p w:rsidR="009E5533" w:rsidRDefault="00AA4D72">
      <w:pPr>
        <w:pStyle w:val="Prrafodelista"/>
        <w:numPr>
          <w:ilvl w:val="0"/>
          <w:numId w:val="2"/>
        </w:numPr>
        <w:spacing w:after="80"/>
      </w:pPr>
      <w:r>
        <w:t>Resultado de la operación (éxito, fallo de autenticación, token expirado)</w:t>
      </w:r>
    </w:p>
    <w:p w:rsidR="009E5533" w:rsidRDefault="00AA4D72">
      <w:pPr>
        <w:pStyle w:val="Ttulo3"/>
      </w:pPr>
      <w:r>
        <w:t>Frecuencia de revisión</w:t>
      </w:r>
    </w:p>
    <w:p w:rsidR="009E5533" w:rsidRDefault="00AA4D72">
      <w:pPr>
        <w:pStyle w:val="Prrafodelista"/>
        <w:numPr>
          <w:ilvl w:val="0"/>
          <w:numId w:val="2"/>
        </w:numPr>
        <w:spacing w:after="80"/>
      </w:pPr>
      <w:r>
        <w:t>Revisión mensual: el líder técnico SQA inspecciona los logs en busca de anomalías</w:t>
      </w:r>
    </w:p>
    <w:p w:rsidR="009E5533" w:rsidRDefault="00AA4D72">
      <w:pPr>
        <w:pStyle w:val="Prrafodelista"/>
        <w:numPr>
          <w:ilvl w:val="0"/>
          <w:numId w:val="2"/>
        </w:numPr>
        <w:spacing w:after="80"/>
      </w:pPr>
      <w:r>
        <w:t>Auditoría trimestral: v</w:t>
      </w:r>
      <w:r>
        <w:t>alidación completa de todos los tokens activos y vigencias</w:t>
      </w:r>
    </w:p>
    <w:p w:rsidR="009E5533" w:rsidRDefault="00AA4D72">
      <w:pPr>
        <w:pStyle w:val="Prrafodelista"/>
        <w:numPr>
          <w:ilvl w:val="0"/>
          <w:numId w:val="2"/>
        </w:numPr>
        <w:spacing w:after="80"/>
      </w:pPr>
      <w:r>
        <w:t>Revisión anual: actualización de la política con el equipo de ciberseguridad</w:t>
      </w:r>
    </w:p>
    <w:p w:rsidR="009E5533" w:rsidRDefault="00AA4D72">
      <w:pPr>
        <w:pStyle w:val="Ttulo3"/>
      </w:pPr>
      <w:r>
        <w:t>Alertas automáticas</w:t>
      </w:r>
    </w:p>
    <w:p w:rsidR="009E5533" w:rsidRDefault="00AA4D72">
      <w:pPr>
        <w:spacing w:after="120"/>
        <w:jc w:val="both"/>
      </w:pPr>
      <w:r>
        <w:t>Se configuran alertas para los siguientes eventos:</w:t>
      </w:r>
    </w:p>
    <w:p w:rsidR="009E5533" w:rsidRDefault="00AA4D72">
      <w:pPr>
        <w:pStyle w:val="Prrafodelista"/>
        <w:numPr>
          <w:ilvl w:val="0"/>
          <w:numId w:val="2"/>
        </w:numPr>
        <w:spacing w:after="80"/>
      </w:pPr>
      <w:r>
        <w:t>Descargas desde direcciones IP no incluidas en la</w:t>
      </w:r>
      <w:r>
        <w:t xml:space="preserve"> lista esperada</w:t>
      </w:r>
    </w:p>
    <w:p w:rsidR="009E5533" w:rsidRDefault="00AA4D72">
      <w:pPr>
        <w:pStyle w:val="Prrafodelista"/>
        <w:numPr>
          <w:ilvl w:val="0"/>
          <w:numId w:val="2"/>
        </w:numPr>
        <w:spacing w:after="80"/>
      </w:pPr>
      <w:r>
        <w:t>Múltiples intentos fallidos de autenticación desde un mismo origen</w:t>
      </w:r>
    </w:p>
    <w:p w:rsidR="009E5533" w:rsidRDefault="00AA4D72">
      <w:pPr>
        <w:pStyle w:val="Prrafodelista"/>
        <w:numPr>
          <w:ilvl w:val="0"/>
          <w:numId w:val="2"/>
        </w:numPr>
        <w:spacing w:after="80"/>
      </w:pPr>
      <w:r>
        <w:t>Tokens próximos a vencer (notificaciones a los 15, 5 y 1 día)</w:t>
      </w:r>
    </w:p>
    <w:p w:rsidR="009E5533" w:rsidRDefault="00AA4D72">
      <w:pPr>
        <w:pStyle w:val="Prrafodelista"/>
        <w:numPr>
          <w:ilvl w:val="0"/>
          <w:numId w:val="2"/>
        </w:numPr>
        <w:spacing w:after="80"/>
      </w:pPr>
      <w:r>
        <w:t>Uso de tokens fuera de horarios laborales habituales</w:t>
      </w:r>
    </w:p>
    <w:p w:rsidR="009E5533" w:rsidRDefault="00AA4D72">
      <w:pPr>
        <w:pStyle w:val="Ttulo1"/>
      </w:pPr>
      <w:r>
        <w:t>8. Procedimiento de Revocación</w:t>
      </w:r>
    </w:p>
    <w:p w:rsidR="009E5533" w:rsidRDefault="00AA4D72">
      <w:pPr>
        <w:spacing w:after="120"/>
        <w:jc w:val="both"/>
      </w:pPr>
      <w:r>
        <w:t>Se debe ejecutar la revocación inmediata de un token ante cualquiera de los siguientes disparadores:</w:t>
      </w:r>
    </w:p>
    <w:p w:rsidR="009E5533" w:rsidRDefault="00AA4D72">
      <w:pPr>
        <w:pStyle w:val="Prrafodelista"/>
        <w:numPr>
          <w:ilvl w:val="0"/>
          <w:numId w:val="2"/>
        </w:numPr>
        <w:spacing w:after="80"/>
      </w:pPr>
      <w:r>
        <w:t>Sospecha o confirmación de compromiso del token</w:t>
      </w:r>
    </w:p>
    <w:p w:rsidR="009E5533" w:rsidRDefault="00AA4D72">
      <w:pPr>
        <w:pStyle w:val="Prrafodelista"/>
        <w:numPr>
          <w:ilvl w:val="0"/>
          <w:numId w:val="2"/>
        </w:numPr>
        <w:spacing w:after="80"/>
      </w:pPr>
      <w:r>
        <w:t>Cese de la relación contractual con el consumidor</w:t>
      </w:r>
    </w:p>
    <w:p w:rsidR="009E5533" w:rsidRDefault="00AA4D72">
      <w:pPr>
        <w:pStyle w:val="Prrafodelista"/>
        <w:numPr>
          <w:ilvl w:val="0"/>
          <w:numId w:val="2"/>
        </w:numPr>
        <w:spacing w:after="80"/>
      </w:pPr>
      <w:r>
        <w:lastRenderedPageBreak/>
        <w:t>Cambio de personal con acceso al token</w:t>
      </w:r>
    </w:p>
    <w:p w:rsidR="009E5533" w:rsidRDefault="00AA4D72">
      <w:pPr>
        <w:pStyle w:val="Prrafodelista"/>
        <w:numPr>
          <w:ilvl w:val="0"/>
          <w:numId w:val="2"/>
        </w:numPr>
        <w:spacing w:after="80"/>
      </w:pPr>
      <w:r>
        <w:t>Detección de patro</w:t>
      </w:r>
      <w:r>
        <w:t>nes de uso anómalos</w:t>
      </w:r>
    </w:p>
    <w:p w:rsidR="009E5533" w:rsidRDefault="00AA4D72">
      <w:pPr>
        <w:pStyle w:val="Prrafodelista"/>
        <w:numPr>
          <w:ilvl w:val="0"/>
          <w:numId w:val="2"/>
        </w:numPr>
        <w:spacing w:after="80"/>
      </w:pPr>
      <w:r>
        <w:t>Solicitud explícita del equipo de ciberseguridad</w:t>
      </w:r>
    </w:p>
    <w:p w:rsidR="009E5533" w:rsidRDefault="00AA4D72">
      <w:pPr>
        <w:pStyle w:val="Ttulo3"/>
      </w:pPr>
      <w:r>
        <w:t>Pasos del procedimiento</w:t>
      </w:r>
    </w:p>
    <w:p w:rsidR="009E5533" w:rsidRDefault="00AA4D72">
      <w:pPr>
        <w:spacing w:after="120"/>
        <w:jc w:val="both"/>
      </w:pPr>
      <w:r>
        <w:rPr>
          <w:b/>
          <w:bCs/>
        </w:rPr>
        <w:t xml:space="preserve">Paso 1 — Revocar inmediatamente: </w:t>
      </w:r>
      <w:r>
        <w:t>el responsable accede al portal de Azure DevOps, navega a User Settings → Personal Access Tokens, localiza el token comprometido y</w:t>
      </w:r>
      <w:r>
        <w:t xml:space="preserve"> selecciona la opción Revoke. La propagación toma menos de 5 minutos.</w:t>
      </w:r>
    </w:p>
    <w:p w:rsidR="009E5533" w:rsidRDefault="00AA4D72">
      <w:pPr>
        <w:spacing w:after="120"/>
        <w:jc w:val="both"/>
      </w:pPr>
      <w:r>
        <w:rPr>
          <w:b/>
          <w:bCs/>
        </w:rPr>
        <w:t xml:space="preserve">Paso 2 — Investigar el alcance: </w:t>
      </w:r>
      <w:r>
        <w:t>se revisan los logs de descargas de las últimas 24 a 72 horas para identificar versiones instaladas y posibles entornos afectados. Los hallazgos se docume</w:t>
      </w:r>
      <w:r>
        <w:t>ntan formalmente.</w:t>
      </w:r>
    </w:p>
    <w:p w:rsidR="009E5533" w:rsidRDefault="00AA4D72">
      <w:pPr>
        <w:spacing w:after="120"/>
        <w:jc w:val="both"/>
      </w:pPr>
      <w:r>
        <w:rPr>
          <w:b/>
          <w:bCs/>
        </w:rPr>
        <w:t xml:space="preserve">Paso 3 — Notificar a los afectados: </w:t>
      </w:r>
      <w:r>
        <w:t>se comunica al equipo afectado, al área de ciberseguridad si aplica, y se actualiza la bitácora interna de tokens.</w:t>
      </w:r>
    </w:p>
    <w:p w:rsidR="009E5533" w:rsidRDefault="00AA4D72">
      <w:pPr>
        <w:spacing w:after="120"/>
        <w:jc w:val="both"/>
      </w:pPr>
      <w:r>
        <w:rPr>
          <w:b/>
          <w:bCs/>
        </w:rPr>
        <w:t xml:space="preserve">Paso 4 — Reemitir si corresponde: </w:t>
      </w:r>
      <w:r>
        <w:t xml:space="preserve">si el consumidor sigue siendo legítimo, se genera un </w:t>
      </w:r>
      <w:r>
        <w:t>nuevo token siguiendo el procedimiento estándar de la sección 4. El nuevo token se almacena en el Key Vault del consumidor y se verifica que los pipelines vuelvan a funcionar correctamente.</w:t>
      </w:r>
    </w:p>
    <w:p w:rsidR="009E5533" w:rsidRDefault="00AA4D72">
      <w:pPr>
        <w:pStyle w:val="Ttulo1"/>
      </w:pPr>
      <w:r>
        <w:t>9. Responsabilidades</w:t>
      </w:r>
    </w:p>
    <w:p w:rsidR="009E5533" w:rsidRDefault="00AA4D72">
      <w:pPr>
        <w:pStyle w:val="Ttulo3"/>
      </w:pPr>
      <w:r>
        <w:t>Responsabilidades de SQA (Proveedor)</w:t>
      </w:r>
    </w:p>
    <w:p w:rsidR="009E5533" w:rsidRDefault="00AA4D72">
      <w:pPr>
        <w:pStyle w:val="Prrafodelista"/>
        <w:numPr>
          <w:ilvl w:val="0"/>
          <w:numId w:val="2"/>
        </w:numPr>
        <w:spacing w:after="80"/>
      </w:pPr>
      <w:r>
        <w:t xml:space="preserve">Generar </w:t>
      </w:r>
      <w:r>
        <w:t>y revocar tokens según los procedimientos establecidos</w:t>
      </w:r>
    </w:p>
    <w:p w:rsidR="009E5533" w:rsidRDefault="00AA4D72">
      <w:pPr>
        <w:pStyle w:val="Prrafodelista"/>
        <w:numPr>
          <w:ilvl w:val="0"/>
          <w:numId w:val="2"/>
        </w:numPr>
        <w:spacing w:after="80"/>
      </w:pPr>
      <w:r>
        <w:t>Mantener actualizada la bitácora interna de tokens</w:t>
      </w:r>
    </w:p>
    <w:p w:rsidR="009E5533" w:rsidRDefault="00AA4D72">
      <w:pPr>
        <w:pStyle w:val="Prrafodelista"/>
        <w:numPr>
          <w:ilvl w:val="0"/>
          <w:numId w:val="2"/>
        </w:numPr>
        <w:spacing w:after="80"/>
      </w:pPr>
      <w:r>
        <w:t>Notificar oportunamente los vencimientos próximos</w:t>
      </w:r>
    </w:p>
    <w:p w:rsidR="009E5533" w:rsidRDefault="00AA4D72">
      <w:pPr>
        <w:pStyle w:val="Prrafodelista"/>
        <w:numPr>
          <w:ilvl w:val="0"/>
          <w:numId w:val="2"/>
        </w:numPr>
        <w:spacing w:after="80"/>
      </w:pPr>
      <w:r>
        <w:t>Auditar los logs de uso al menos mensualmente</w:t>
      </w:r>
    </w:p>
    <w:p w:rsidR="009E5533" w:rsidRDefault="00AA4D72">
      <w:pPr>
        <w:pStyle w:val="Prrafodelista"/>
        <w:numPr>
          <w:ilvl w:val="0"/>
          <w:numId w:val="2"/>
        </w:numPr>
        <w:spacing w:after="80"/>
      </w:pPr>
      <w:r>
        <w:t>Mantener vigente esta política y revisarla anualmente</w:t>
      </w:r>
    </w:p>
    <w:p w:rsidR="009E5533" w:rsidRDefault="00AA4D72">
      <w:pPr>
        <w:pStyle w:val="Prrafodelista"/>
        <w:numPr>
          <w:ilvl w:val="0"/>
          <w:numId w:val="2"/>
        </w:numPr>
        <w:spacing w:after="80"/>
      </w:pPr>
      <w:r>
        <w:t>Capacitar al personal interno sobre el manejo seguro de tokens</w:t>
      </w:r>
    </w:p>
    <w:p w:rsidR="009E5533" w:rsidRDefault="00AA4D72">
      <w:pPr>
        <w:pStyle w:val="Ttulo3"/>
      </w:pPr>
      <w:r>
        <w:t>Responsabilidades del Cliente (Consumidor)</w:t>
      </w:r>
    </w:p>
    <w:p w:rsidR="009E5533" w:rsidRDefault="00AA4D72">
      <w:pPr>
        <w:pStyle w:val="Prrafodelista"/>
        <w:numPr>
          <w:ilvl w:val="0"/>
          <w:numId w:val="2"/>
        </w:numPr>
        <w:spacing w:after="80"/>
      </w:pPr>
      <w:r>
        <w:t>Almacenar los tokens recibidos en su propio Azure Key Vault</w:t>
      </w:r>
    </w:p>
    <w:p w:rsidR="009E5533" w:rsidRDefault="00AA4D72">
      <w:pPr>
        <w:pStyle w:val="Prrafodelista"/>
        <w:numPr>
          <w:ilvl w:val="0"/>
          <w:numId w:val="2"/>
        </w:numPr>
        <w:spacing w:after="80"/>
      </w:pPr>
      <w:r>
        <w:t>No compartir tokens con terceros bajo ninguna circunstancia</w:t>
      </w:r>
    </w:p>
    <w:p w:rsidR="009E5533" w:rsidRDefault="00AA4D72">
      <w:pPr>
        <w:pStyle w:val="Prrafodelista"/>
        <w:numPr>
          <w:ilvl w:val="0"/>
          <w:numId w:val="2"/>
        </w:numPr>
        <w:spacing w:after="80"/>
      </w:pPr>
      <w:r>
        <w:t>Reportar inmediatamente cualqu</w:t>
      </w:r>
      <w:r>
        <w:t>ier sospecha de compromiso</w:t>
      </w:r>
    </w:p>
    <w:p w:rsidR="009E5533" w:rsidRDefault="00AA4D72">
      <w:pPr>
        <w:pStyle w:val="Prrafodelista"/>
        <w:numPr>
          <w:ilvl w:val="0"/>
          <w:numId w:val="2"/>
        </w:numPr>
        <w:spacing w:after="80"/>
      </w:pPr>
      <w:r>
        <w:t>Solicitar nuevos tokens con anticipación a la fecha de vencimiento</w:t>
      </w:r>
    </w:p>
    <w:p w:rsidR="009E5533" w:rsidRDefault="00AA4D72">
      <w:pPr>
        <w:pStyle w:val="Prrafodelista"/>
        <w:numPr>
          <w:ilvl w:val="0"/>
          <w:numId w:val="2"/>
        </w:numPr>
        <w:spacing w:after="80"/>
      </w:pPr>
      <w:r>
        <w:t>Cumplir con las prácticas de almacenamiento descritas en la sección 5</w:t>
      </w:r>
    </w:p>
    <w:p w:rsidR="009E5533" w:rsidRDefault="00AA4D72">
      <w:pPr>
        <w:pStyle w:val="Prrafodelista"/>
        <w:numPr>
          <w:ilvl w:val="0"/>
          <w:numId w:val="2"/>
        </w:numPr>
        <w:spacing w:after="80"/>
      </w:pPr>
      <w:r>
        <w:t>Notificar cambios en el personal con acceso a los tokens</w:t>
      </w:r>
    </w:p>
    <w:p w:rsidR="009E5533" w:rsidRDefault="00AA4D72">
      <w:pPr>
        <w:pStyle w:val="Ttulo1"/>
      </w:pPr>
      <w:r>
        <w:t>10. Cumplimiento Normativo</w:t>
      </w:r>
    </w:p>
    <w:p w:rsidR="009E5533" w:rsidRDefault="00AA4D72">
      <w:pPr>
        <w:spacing w:after="120"/>
        <w:jc w:val="both"/>
      </w:pPr>
      <w:r>
        <w:t>Esta política está alineada con marcos internacionales de seguridad de la información reconocidos: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9E553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534AB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E5533" w:rsidRDefault="00AA4D72">
            <w:r>
              <w:rPr>
                <w:b/>
                <w:bCs/>
                <w:color w:val="FFFFFF"/>
                <w:sz w:val="18"/>
                <w:szCs w:val="18"/>
              </w:rPr>
              <w:t>Marco normativo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534AB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E5533" w:rsidRDefault="00AA4D72">
            <w:r>
              <w:rPr>
                <w:b/>
                <w:bCs/>
                <w:color w:val="FFFFFF"/>
                <w:sz w:val="18"/>
                <w:szCs w:val="18"/>
              </w:rPr>
              <w:t>Sección aplicable</w:t>
            </w:r>
          </w:p>
        </w:tc>
      </w:tr>
      <w:tr w:rsidR="009E553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E5533" w:rsidRDefault="00AA4D72">
            <w:r>
              <w:rPr>
                <w:b/>
                <w:bCs/>
                <w:color w:val="1D1D1F"/>
                <w:sz w:val="18"/>
                <w:szCs w:val="18"/>
              </w:rPr>
              <w:t>ISO/IEC 27001:2022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E5533" w:rsidRDefault="00AA4D72">
            <w:r>
              <w:rPr>
                <w:color w:val="1D1D1F"/>
                <w:sz w:val="18"/>
                <w:szCs w:val="18"/>
              </w:rPr>
              <w:t>Anexo A.9 — Control de Acceso. Específicamente A.9.2.6 sobre eliminación o ajuste de derechos de acceso</w:t>
            </w:r>
            <w:r>
              <w:rPr>
                <w:color w:val="1D1D1F"/>
                <w:sz w:val="18"/>
                <w:szCs w:val="18"/>
              </w:rPr>
              <w:t>.</w:t>
            </w:r>
          </w:p>
        </w:tc>
      </w:tr>
      <w:tr w:rsidR="009E553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E5533" w:rsidRDefault="00AA4D72">
            <w:r>
              <w:rPr>
                <w:b/>
                <w:bCs/>
                <w:color w:val="1D1D1F"/>
                <w:sz w:val="18"/>
                <w:szCs w:val="18"/>
              </w:rPr>
              <w:t>NIST Cybersecurity Framework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E5533" w:rsidRDefault="00AA4D72">
            <w:r>
              <w:rPr>
                <w:color w:val="1D1D1F"/>
                <w:sz w:val="18"/>
                <w:szCs w:val="18"/>
              </w:rPr>
              <w:t>Categoría PR.AC — Identity Management, Authentication and Access Control. Subcontroles PR.AC-1, PR.AC-4 y PR.AC-7.</w:t>
            </w:r>
          </w:p>
        </w:tc>
      </w:tr>
      <w:tr w:rsidR="009E553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E5533" w:rsidRDefault="00AA4D72">
            <w:r>
              <w:rPr>
                <w:b/>
                <w:bCs/>
                <w:color w:val="1D1D1F"/>
                <w:sz w:val="18"/>
                <w:szCs w:val="18"/>
              </w:rPr>
              <w:lastRenderedPageBreak/>
              <w:t>Azure Well-Architected Framework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E5533" w:rsidRDefault="00AA4D72">
            <w:r>
              <w:rPr>
                <w:color w:val="1D1D1F"/>
                <w:sz w:val="18"/>
                <w:szCs w:val="18"/>
              </w:rPr>
              <w:t>Pilar de Seguridad — recomendaciones sobre Key Vault, rotación de credenciales y Managed Identity.</w:t>
            </w:r>
          </w:p>
        </w:tc>
      </w:tr>
      <w:tr w:rsidR="009E553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E5533" w:rsidRDefault="00AA4D72">
            <w:r>
              <w:rPr>
                <w:b/>
                <w:bCs/>
                <w:color w:val="1D1D1F"/>
                <w:sz w:val="18"/>
                <w:szCs w:val="18"/>
              </w:rPr>
              <w:t>OWASP Secrets Management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E5533" w:rsidRDefault="00AA4D72">
            <w:r>
              <w:rPr>
                <w:color w:val="1D1D1F"/>
                <w:sz w:val="18"/>
                <w:szCs w:val="18"/>
              </w:rPr>
              <w:t>Cheat Sheet sobre prácticas seguras de gestión de secretos en aplicaciones empresariales.</w:t>
            </w:r>
          </w:p>
        </w:tc>
      </w:tr>
    </w:tbl>
    <w:p w:rsidR="009E5533" w:rsidRDefault="009E5533">
      <w:pPr>
        <w:spacing w:after="100"/>
      </w:pPr>
    </w:p>
    <w:p w:rsidR="009E5533" w:rsidRDefault="00AA4D72">
      <w:pPr>
        <w:spacing w:after="120"/>
        <w:jc w:val="both"/>
      </w:pPr>
      <w:r>
        <w:t>La revisión completa de esta política s</w:t>
      </w:r>
      <w:r>
        <w:t>e realiza anualmente o ante cambios significativos en la arquitectura, regulaciones aplicables o detección de incidentes que ameriten ajustes.</w:t>
      </w:r>
    </w:p>
    <w:p w:rsidR="009E5533" w:rsidRDefault="00AA4D72">
      <w:pPr>
        <w:pStyle w:val="Ttulo1"/>
      </w:pPr>
      <w:r>
        <w:t>11. Referencias Normativas</w:t>
      </w:r>
    </w:p>
    <w:p w:rsidR="009E5533" w:rsidRDefault="00AA4D72">
      <w:pPr>
        <w:pStyle w:val="Prrafodelista"/>
        <w:numPr>
          <w:ilvl w:val="0"/>
          <w:numId w:val="2"/>
        </w:numPr>
        <w:spacing w:after="80"/>
      </w:pPr>
      <w:r>
        <w:t>ISO/IEC 27001:2022 — Information security, cybersecurity and privacy protection. Infor</w:t>
      </w:r>
      <w:r>
        <w:t>mation security management systems — Requirements. Annex A.9 Access Control.</w:t>
      </w:r>
    </w:p>
    <w:p w:rsidR="009E5533" w:rsidRDefault="00AA4D72">
      <w:pPr>
        <w:pStyle w:val="Prrafodelista"/>
        <w:numPr>
          <w:ilvl w:val="0"/>
          <w:numId w:val="2"/>
        </w:numPr>
        <w:spacing w:after="80"/>
      </w:pPr>
      <w:r>
        <w:t>NIST Cybersecurity Framework v1.1 (2018). National Institute of Standards and Technology, U.S. Department of Commerce.</w:t>
      </w:r>
    </w:p>
    <w:p w:rsidR="009E5533" w:rsidRDefault="00AA4D72">
      <w:pPr>
        <w:pStyle w:val="Prrafodelista"/>
        <w:numPr>
          <w:ilvl w:val="0"/>
          <w:numId w:val="2"/>
        </w:numPr>
        <w:spacing w:after="80"/>
      </w:pPr>
      <w:r>
        <w:t>Azure Well-Architected Framework — Security pillar. Microsoft Corporation.</w:t>
      </w:r>
    </w:p>
    <w:p w:rsidR="009E5533" w:rsidRDefault="00AA4D72">
      <w:pPr>
        <w:pStyle w:val="Prrafodelista"/>
        <w:numPr>
          <w:ilvl w:val="0"/>
          <w:numId w:val="2"/>
        </w:numPr>
        <w:spacing w:after="80"/>
      </w:pPr>
      <w:r>
        <w:t>OWASP Secrets Management Cheat Sheet. Open Web Application Security Project.</w:t>
      </w:r>
    </w:p>
    <w:p w:rsidR="009E5533" w:rsidRDefault="00AA4D72">
      <w:pPr>
        <w:pStyle w:val="Prrafodelista"/>
        <w:numPr>
          <w:ilvl w:val="0"/>
          <w:numId w:val="2"/>
        </w:numPr>
        <w:spacing w:after="80"/>
      </w:pPr>
      <w:r>
        <w:t>Microsoft Azure DevOps — Personal Access Tokens documentation.</w:t>
      </w:r>
    </w:p>
    <w:p w:rsidR="009E5533" w:rsidRDefault="00AA4D72">
      <w:pPr>
        <w:pStyle w:val="Ttulo1"/>
      </w:pPr>
      <w:r>
        <w:t>12. Aprobación y Vigencia</w:t>
      </w:r>
    </w:p>
    <w:p w:rsidR="009E5533" w:rsidRDefault="009E5533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9E5533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E5533" w:rsidRDefault="00AA4D72">
            <w:pPr>
              <w:jc w:val="center"/>
            </w:pPr>
            <w:r>
              <w:rPr>
                <w:b/>
                <w:bCs/>
                <w:color w:val="1D1D1F"/>
                <w:sz w:val="18"/>
                <w:szCs w:val="18"/>
              </w:rPr>
              <w:t>Elaborado por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E5533" w:rsidRDefault="00AA4D72">
            <w:pPr>
              <w:jc w:val="center"/>
            </w:pPr>
            <w:r>
              <w:rPr>
                <w:b/>
                <w:bCs/>
                <w:color w:val="1D1D1F"/>
                <w:sz w:val="18"/>
                <w:szCs w:val="18"/>
              </w:rPr>
              <w:t>Revisado por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E5533" w:rsidRDefault="00AA4D72">
            <w:pPr>
              <w:jc w:val="center"/>
            </w:pPr>
            <w:r>
              <w:rPr>
                <w:b/>
                <w:bCs/>
                <w:color w:val="1D1D1F"/>
                <w:sz w:val="18"/>
                <w:szCs w:val="18"/>
              </w:rPr>
              <w:t>Aprobado por</w:t>
            </w:r>
          </w:p>
        </w:tc>
      </w:tr>
      <w:tr w:rsidR="009E5533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E5533" w:rsidRDefault="00AA4D72">
            <w:r>
              <w:rPr>
                <w:color w:val="1D1D1F"/>
                <w:sz w:val="18"/>
                <w:szCs w:val="18"/>
              </w:rPr>
              <w:t xml:space="preserve"> 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E5533" w:rsidRDefault="00AA4D72">
            <w:r>
              <w:rPr>
                <w:color w:val="1D1D1F"/>
                <w:sz w:val="18"/>
                <w:szCs w:val="18"/>
              </w:rPr>
              <w:t xml:space="preserve"> 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E5533" w:rsidRDefault="00AA4D72">
            <w:r>
              <w:rPr>
                <w:color w:val="1D1D1F"/>
                <w:sz w:val="18"/>
                <w:szCs w:val="18"/>
              </w:rPr>
              <w:t xml:space="preserve"> </w:t>
            </w:r>
          </w:p>
        </w:tc>
      </w:tr>
      <w:tr w:rsidR="009E5533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E5533" w:rsidRDefault="00AA4D72">
            <w:r>
              <w:rPr>
                <w:color w:val="1D1D1F"/>
                <w:sz w:val="18"/>
                <w:szCs w:val="18"/>
              </w:rPr>
              <w:t xml:space="preserve"> 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E5533" w:rsidRDefault="00AA4D72">
            <w:r>
              <w:rPr>
                <w:color w:val="1D1D1F"/>
                <w:sz w:val="18"/>
                <w:szCs w:val="18"/>
              </w:rPr>
              <w:t xml:space="preserve"> 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E5533" w:rsidRDefault="00AA4D72">
            <w:r>
              <w:rPr>
                <w:color w:val="1D1D1F"/>
                <w:sz w:val="18"/>
                <w:szCs w:val="18"/>
              </w:rPr>
              <w:t xml:space="preserve"> </w:t>
            </w:r>
          </w:p>
        </w:tc>
      </w:tr>
      <w:tr w:rsidR="009E5533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E5533" w:rsidRDefault="00AA4D72">
            <w:pPr>
              <w:jc w:val="center"/>
            </w:pPr>
            <w:r>
              <w:rPr>
                <w:color w:val="1D1D1F"/>
                <w:sz w:val="18"/>
                <w:szCs w:val="18"/>
              </w:rPr>
              <w:t>_______________________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E5533" w:rsidRDefault="00AA4D72">
            <w:pPr>
              <w:jc w:val="center"/>
            </w:pPr>
            <w:r>
              <w:rPr>
                <w:color w:val="1D1D1F"/>
                <w:sz w:val="18"/>
                <w:szCs w:val="18"/>
              </w:rPr>
              <w:t>_______________________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E5533" w:rsidRDefault="00AA4D72">
            <w:pPr>
              <w:jc w:val="center"/>
            </w:pPr>
            <w:r>
              <w:rPr>
                <w:color w:val="1D1D1F"/>
                <w:sz w:val="18"/>
                <w:szCs w:val="18"/>
              </w:rPr>
              <w:t>_______________________</w:t>
            </w:r>
          </w:p>
        </w:tc>
      </w:tr>
      <w:tr w:rsidR="009E5533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E5533" w:rsidRDefault="00AA4D72">
            <w:pPr>
              <w:jc w:val="center"/>
            </w:pPr>
            <w:r>
              <w:rPr>
                <w:color w:val="1D1D1F"/>
                <w:sz w:val="18"/>
                <w:szCs w:val="18"/>
              </w:rPr>
              <w:t>Consultora SQA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E5533" w:rsidRDefault="00AA4D72">
            <w:pPr>
              <w:jc w:val="center"/>
            </w:pPr>
            <w:r>
              <w:rPr>
                <w:color w:val="1D1D1F"/>
                <w:sz w:val="18"/>
                <w:szCs w:val="18"/>
              </w:rPr>
              <w:t>Líder técnico SQA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E5533" w:rsidRDefault="00AA4D72">
            <w:pPr>
              <w:jc w:val="center"/>
            </w:pPr>
            <w:r>
              <w:rPr>
                <w:color w:val="1D1D1F"/>
                <w:sz w:val="18"/>
                <w:szCs w:val="18"/>
              </w:rPr>
              <w:t>Gerencia SQA</w:t>
            </w:r>
          </w:p>
        </w:tc>
      </w:tr>
    </w:tbl>
    <w:p w:rsidR="009E5533" w:rsidRDefault="009E5533">
      <w:pPr>
        <w:spacing w:after="100"/>
      </w:pPr>
    </w:p>
    <w:p w:rsidR="009E5533" w:rsidRDefault="00AA4D72">
      <w:pPr>
        <w:spacing w:after="120"/>
        <w:jc w:val="both"/>
      </w:pPr>
      <w:r>
        <w:rPr>
          <w:b/>
          <w:bCs/>
        </w:rPr>
        <w:t xml:space="preserve">Fecha de vigencia: </w:t>
      </w:r>
      <w:r>
        <w:t xml:space="preserve">________________________      </w:t>
      </w:r>
      <w:r>
        <w:rPr>
          <w:b/>
          <w:bCs/>
        </w:rPr>
        <w:t xml:space="preserve">Próxima revisión: </w:t>
      </w:r>
      <w:r>
        <w:t>________________________</w:t>
      </w:r>
    </w:p>
    <w:sectPr w:rsidR="009E5533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A4D72" w:rsidRDefault="00AA4D72">
      <w:r>
        <w:separator/>
      </w:r>
    </w:p>
  </w:endnote>
  <w:endnote w:type="continuationSeparator" w:id="0">
    <w:p w:rsidR="00AA4D72" w:rsidRDefault="00AA4D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5533" w:rsidRDefault="00AA4D72">
    <w:pPr>
      <w:jc w:val="center"/>
    </w:pPr>
    <w:r>
      <w:rPr>
        <w:color w:val="888888"/>
        <w:sz w:val="16"/>
        <w:szCs w:val="16"/>
      </w:rPr>
      <w:t xml:space="preserve">Página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 w:rsidR="002134DF">
      <w:rPr>
        <w:color w:val="888888"/>
        <w:sz w:val="16"/>
        <w:szCs w:val="16"/>
      </w:rPr>
      <w:fldChar w:fldCharType="separate"/>
    </w:r>
    <w:r w:rsidR="00230DAC">
      <w:rPr>
        <w:noProof/>
        <w:color w:val="888888"/>
        <w:sz w:val="16"/>
        <w:szCs w:val="16"/>
      </w:rPr>
      <w:t>6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 w:rsidR="002134DF">
      <w:rPr>
        <w:color w:val="888888"/>
        <w:sz w:val="16"/>
        <w:szCs w:val="16"/>
      </w:rPr>
      <w:fldChar w:fldCharType="separate"/>
    </w:r>
    <w:r w:rsidR="00230DAC">
      <w:rPr>
        <w:noProof/>
        <w:color w:val="888888"/>
        <w:sz w:val="16"/>
        <w:szCs w:val="16"/>
      </w:rPr>
      <w:t>6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A4D72" w:rsidRDefault="00AA4D72">
      <w:r>
        <w:separator/>
      </w:r>
    </w:p>
  </w:footnote>
  <w:footnote w:type="continuationSeparator" w:id="0">
    <w:p w:rsidR="00AA4D72" w:rsidRDefault="00AA4D7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5533" w:rsidRDefault="00AA4D72">
    <w:pPr>
      <w:jc w:val="right"/>
    </w:pPr>
    <w:r>
      <w:rPr>
        <w:i/>
        <w:iCs/>
        <w:color w:val="888888"/>
        <w:sz w:val="16"/>
        <w:szCs w:val="16"/>
      </w:rPr>
      <w:t>SQA — Política de Tokens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084C76"/>
    <w:multiLevelType w:val="hybridMultilevel"/>
    <w:tmpl w:val="269C944A"/>
    <w:lvl w:ilvl="0" w:tplc="63C88566">
      <w:start w:val="1"/>
      <w:numFmt w:val="bullet"/>
      <w:lvlText w:val="•"/>
      <w:lvlJc w:val="left"/>
      <w:pPr>
        <w:ind w:left="720" w:hanging="360"/>
      </w:pPr>
    </w:lvl>
    <w:lvl w:ilvl="1" w:tplc="1BF29782">
      <w:start w:val="1"/>
      <w:numFmt w:val="bullet"/>
      <w:lvlText w:val="◦"/>
      <w:lvlJc w:val="left"/>
      <w:pPr>
        <w:ind w:left="1440" w:hanging="360"/>
      </w:pPr>
    </w:lvl>
    <w:lvl w:ilvl="2" w:tplc="F33CFF10">
      <w:numFmt w:val="decimal"/>
      <w:lvlText w:val=""/>
      <w:lvlJc w:val="left"/>
    </w:lvl>
    <w:lvl w:ilvl="3" w:tplc="D4D6D80E">
      <w:numFmt w:val="decimal"/>
      <w:lvlText w:val=""/>
      <w:lvlJc w:val="left"/>
    </w:lvl>
    <w:lvl w:ilvl="4" w:tplc="2F6E17E8">
      <w:numFmt w:val="decimal"/>
      <w:lvlText w:val=""/>
      <w:lvlJc w:val="left"/>
    </w:lvl>
    <w:lvl w:ilvl="5" w:tplc="88AEFE5E">
      <w:numFmt w:val="decimal"/>
      <w:lvlText w:val=""/>
      <w:lvlJc w:val="left"/>
    </w:lvl>
    <w:lvl w:ilvl="6" w:tplc="0E784D94">
      <w:numFmt w:val="decimal"/>
      <w:lvlText w:val=""/>
      <w:lvlJc w:val="left"/>
    </w:lvl>
    <w:lvl w:ilvl="7" w:tplc="8586C3F4">
      <w:numFmt w:val="decimal"/>
      <w:lvlText w:val=""/>
      <w:lvlJc w:val="left"/>
    </w:lvl>
    <w:lvl w:ilvl="8" w:tplc="24566832">
      <w:numFmt w:val="decimal"/>
      <w:lvlText w:val=""/>
      <w:lvlJc w:val="left"/>
    </w:lvl>
  </w:abstractNum>
  <w:abstractNum w:abstractNumId="1" w15:restartNumberingAfterBreak="0">
    <w:nsid w:val="64E315A9"/>
    <w:multiLevelType w:val="hybridMultilevel"/>
    <w:tmpl w:val="37345382"/>
    <w:lvl w:ilvl="0" w:tplc="22DE281A">
      <w:start w:val="1"/>
      <w:numFmt w:val="bullet"/>
      <w:lvlText w:val="●"/>
      <w:lvlJc w:val="left"/>
      <w:pPr>
        <w:ind w:left="720" w:hanging="360"/>
      </w:pPr>
    </w:lvl>
    <w:lvl w:ilvl="1" w:tplc="C194BDB6">
      <w:start w:val="1"/>
      <w:numFmt w:val="bullet"/>
      <w:lvlText w:val="○"/>
      <w:lvlJc w:val="left"/>
      <w:pPr>
        <w:ind w:left="1440" w:hanging="360"/>
      </w:pPr>
    </w:lvl>
    <w:lvl w:ilvl="2" w:tplc="A344E8A8">
      <w:start w:val="1"/>
      <w:numFmt w:val="bullet"/>
      <w:lvlText w:val="■"/>
      <w:lvlJc w:val="left"/>
      <w:pPr>
        <w:ind w:left="2160" w:hanging="360"/>
      </w:pPr>
    </w:lvl>
    <w:lvl w:ilvl="3" w:tplc="25885CC2">
      <w:start w:val="1"/>
      <w:numFmt w:val="bullet"/>
      <w:lvlText w:val="●"/>
      <w:lvlJc w:val="left"/>
      <w:pPr>
        <w:ind w:left="2880" w:hanging="360"/>
      </w:pPr>
    </w:lvl>
    <w:lvl w:ilvl="4" w:tplc="0EAEA860">
      <w:start w:val="1"/>
      <w:numFmt w:val="bullet"/>
      <w:lvlText w:val="○"/>
      <w:lvlJc w:val="left"/>
      <w:pPr>
        <w:ind w:left="3600" w:hanging="360"/>
      </w:pPr>
    </w:lvl>
    <w:lvl w:ilvl="5" w:tplc="FC48F008">
      <w:start w:val="1"/>
      <w:numFmt w:val="bullet"/>
      <w:lvlText w:val="■"/>
      <w:lvlJc w:val="left"/>
      <w:pPr>
        <w:ind w:left="4320" w:hanging="360"/>
      </w:pPr>
    </w:lvl>
    <w:lvl w:ilvl="6" w:tplc="0EDA0C78">
      <w:start w:val="1"/>
      <w:numFmt w:val="bullet"/>
      <w:lvlText w:val="●"/>
      <w:lvlJc w:val="left"/>
      <w:pPr>
        <w:ind w:left="5040" w:hanging="360"/>
      </w:pPr>
    </w:lvl>
    <w:lvl w:ilvl="7" w:tplc="C5328B9C">
      <w:start w:val="1"/>
      <w:numFmt w:val="bullet"/>
      <w:lvlText w:val="●"/>
      <w:lvlJc w:val="left"/>
      <w:pPr>
        <w:ind w:left="5760" w:hanging="360"/>
      </w:pPr>
    </w:lvl>
    <w:lvl w:ilvl="8" w:tplc="70A8362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5533"/>
    <w:rsid w:val="002134DF"/>
    <w:rsid w:val="00230DAC"/>
    <w:rsid w:val="009E5533"/>
    <w:rsid w:val="00AA4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BAF44B3-B030-4E06-B957-A7888D144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360" w:after="180"/>
      <w:outlineLvl w:val="0"/>
    </w:pPr>
    <w:rPr>
      <w:b/>
      <w:bCs/>
      <w:color w:val="534AB7"/>
      <w:sz w:val="28"/>
      <w:szCs w:val="28"/>
    </w:rPr>
  </w:style>
  <w:style w:type="paragraph" w:styleId="Ttulo2">
    <w:name w:val="heading 2"/>
    <w:qFormat/>
    <w:pPr>
      <w:spacing w:before="280" w:after="140"/>
      <w:outlineLvl w:val="1"/>
    </w:pPr>
    <w:rPr>
      <w:b/>
      <w:bCs/>
      <w:color w:val="534AB7"/>
      <w:sz w:val="22"/>
      <w:szCs w:val="22"/>
    </w:rPr>
  </w:style>
  <w:style w:type="paragraph" w:styleId="Ttulo3">
    <w:name w:val="heading 3"/>
    <w:qFormat/>
    <w:pPr>
      <w:spacing w:before="200" w:after="100"/>
      <w:outlineLvl w:val="2"/>
    </w:pPr>
    <w:rPr>
      <w:b/>
      <w:bCs/>
      <w:color w:val="333333"/>
      <w:sz w:val="18"/>
      <w:szCs w:val="18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uest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1466</Words>
  <Characters>8067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VALERIA RIVERA DIOSSA</cp:lastModifiedBy>
  <cp:revision>2</cp:revision>
  <dcterms:created xsi:type="dcterms:W3CDTF">2026-05-07T02:43:00Z</dcterms:created>
  <dcterms:modified xsi:type="dcterms:W3CDTF">2026-05-07T02:43:00Z</dcterms:modified>
</cp:coreProperties>
</file>