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D6E9" w14:textId="643298E9" w:rsidR="00023672" w:rsidRDefault="00023672" w:rsidP="00023672"/>
    <w:p w14:paraId="0420FF56" w14:textId="5F29C318" w:rsidR="00867549" w:rsidRPr="00194587" w:rsidRDefault="00867549" w:rsidP="00867549">
      <w:pPr>
        <w:jc w:val="center"/>
        <w:rPr>
          <w:rFonts w:ascii="Times New Roman" w:hAnsi="Times New Roman" w:cs="Times New Roman"/>
          <w:lang w:val="es-ES_tradnl"/>
        </w:rPr>
      </w:pPr>
      <w:r w:rsidRPr="00194587">
        <w:rPr>
          <w:rFonts w:ascii="Times New Roman" w:hAnsi="Times New Roman" w:cs="Times New Roman"/>
          <w:lang w:val="es-ES_tradnl"/>
        </w:rPr>
        <w:t xml:space="preserve">Pronóstico del Precio de Bolsa de Energía Eléctrica en Colombia: Aproximación a partir de metodologías ARIMA y </w:t>
      </w:r>
      <w:proofErr w:type="spellStart"/>
      <w:r w:rsidRPr="00194587">
        <w:rPr>
          <w:rFonts w:ascii="Times New Roman" w:hAnsi="Times New Roman" w:cs="Times New Roman"/>
          <w:lang w:val="es-ES_tradnl"/>
        </w:rPr>
        <w:t>Prophet</w:t>
      </w:r>
      <w:proofErr w:type="spellEnd"/>
      <w:r w:rsidRPr="00194587">
        <w:rPr>
          <w:rFonts w:ascii="Times New Roman" w:hAnsi="Times New Roman" w:cs="Times New Roman"/>
          <w:lang w:val="es-ES_tradnl"/>
        </w:rPr>
        <w:t>.</w:t>
      </w:r>
    </w:p>
    <w:p w14:paraId="191A0E15" w14:textId="179AF1BB" w:rsidR="00867549" w:rsidRPr="00194587" w:rsidRDefault="00867549" w:rsidP="00023672">
      <w:pPr>
        <w:rPr>
          <w:rFonts w:ascii="Times New Roman" w:hAnsi="Times New Roman" w:cs="Times New Roman"/>
        </w:rPr>
      </w:pPr>
    </w:p>
    <w:p w14:paraId="618328E6" w14:textId="77777777" w:rsidR="00194587" w:rsidRPr="00194587" w:rsidRDefault="00194587" w:rsidP="00194587">
      <w:pPr>
        <w:jc w:val="center"/>
        <w:rPr>
          <w:rFonts w:ascii="Times New Roman" w:hAnsi="Times New Roman" w:cs="Times New Roman"/>
        </w:rPr>
      </w:pPr>
      <w:r w:rsidRPr="00194587">
        <w:rPr>
          <w:rFonts w:ascii="Times New Roman" w:hAnsi="Times New Roman" w:cs="Times New Roman"/>
        </w:rPr>
        <w:t>Alejandro García 201810340 - Andrés Torres 202115992 - Ignacio Serrano 201618789</w:t>
      </w:r>
    </w:p>
    <w:p w14:paraId="2E385775" w14:textId="427FEE65" w:rsidR="00867549" w:rsidRPr="00194587" w:rsidRDefault="00867549" w:rsidP="00023672">
      <w:pPr>
        <w:rPr>
          <w:rFonts w:ascii="Times New Roman" w:hAnsi="Times New Roman" w:cs="Times New Roman"/>
        </w:rPr>
      </w:pPr>
    </w:p>
    <w:p w14:paraId="40E97471" w14:textId="5724E9D1" w:rsidR="00867549" w:rsidRPr="00194587" w:rsidRDefault="00867549" w:rsidP="00023672">
      <w:pPr>
        <w:rPr>
          <w:rFonts w:ascii="Times New Roman" w:hAnsi="Times New Roman" w:cs="Times New Roman"/>
        </w:rPr>
      </w:pPr>
    </w:p>
    <w:p w14:paraId="3E2ADDCE" w14:textId="0D8BEA60" w:rsidR="00867549" w:rsidRPr="00194587" w:rsidRDefault="00867549" w:rsidP="00023672">
      <w:pPr>
        <w:rPr>
          <w:rFonts w:ascii="Times New Roman" w:hAnsi="Times New Roman" w:cs="Times New Roman"/>
        </w:rPr>
      </w:pPr>
    </w:p>
    <w:p w14:paraId="4BAB23BD" w14:textId="7F86F2B5" w:rsidR="00867549" w:rsidRPr="00194587" w:rsidRDefault="00867549" w:rsidP="00023672">
      <w:pPr>
        <w:rPr>
          <w:rFonts w:ascii="Times New Roman" w:hAnsi="Times New Roman" w:cs="Times New Roman"/>
        </w:rPr>
      </w:pPr>
    </w:p>
    <w:p w14:paraId="7719FCEA" w14:textId="3B08A441" w:rsidR="00867549" w:rsidRPr="00194587" w:rsidRDefault="00867549" w:rsidP="00023672">
      <w:pPr>
        <w:rPr>
          <w:rFonts w:ascii="Times New Roman" w:hAnsi="Times New Roman" w:cs="Times New Roman"/>
        </w:rPr>
      </w:pPr>
    </w:p>
    <w:p w14:paraId="55922635" w14:textId="62D09BDD" w:rsidR="00867549" w:rsidRPr="00194587" w:rsidRDefault="00867549" w:rsidP="00023672">
      <w:pPr>
        <w:rPr>
          <w:rFonts w:ascii="Times New Roman" w:hAnsi="Times New Roman" w:cs="Times New Roman"/>
        </w:rPr>
      </w:pPr>
    </w:p>
    <w:p w14:paraId="00316F53" w14:textId="2A5620C7" w:rsidR="00194587" w:rsidRPr="00194587" w:rsidRDefault="00194587" w:rsidP="00194587">
      <w:pPr>
        <w:jc w:val="both"/>
        <w:rPr>
          <w:rFonts w:ascii="Times New Roman" w:hAnsi="Times New Roman" w:cs="Times New Roman"/>
          <w:i/>
          <w:iCs/>
          <w:lang w:val="es-ES_tradnl"/>
        </w:rPr>
      </w:pPr>
      <w:r w:rsidRPr="00194587">
        <w:rPr>
          <w:rFonts w:ascii="Times New Roman" w:hAnsi="Times New Roman" w:cs="Times New Roman"/>
          <w:i/>
          <w:iCs/>
        </w:rPr>
        <w:t>El manejo de los precios de la energía ha visto acrecentada su importancia ante la transición energética, con retos ante la necesidad</w:t>
      </w:r>
      <w:r w:rsidRPr="00194587">
        <w:rPr>
          <w:rFonts w:ascii="Times New Roman" w:hAnsi="Times New Roman" w:cs="Times New Roman"/>
          <w:i/>
          <w:iCs/>
          <w:lang w:val="es-ES_tradnl"/>
        </w:rPr>
        <w:t xml:space="preserve"> </w:t>
      </w:r>
      <w:r w:rsidRPr="00194587">
        <w:rPr>
          <w:rFonts w:ascii="Times New Roman" w:hAnsi="Times New Roman" w:cs="Times New Roman"/>
          <w:i/>
          <w:iCs/>
        </w:rPr>
        <w:t>de manejar las volatilidades de la disponibilidad de fuentes de energía como la hídrica, que en el caso de Colombia es vital al representar el 70% de la energía eléctrica, y que se ve afectada por fenómenos climáticos y capacidad de generación.</w:t>
      </w:r>
      <w:r w:rsidRPr="00194587">
        <w:rPr>
          <w:rFonts w:ascii="Times New Roman" w:hAnsi="Times New Roman" w:cs="Times New Roman"/>
          <w:i/>
          <w:iCs/>
          <w:lang w:val="es-ES_tradnl"/>
        </w:rPr>
        <w:t xml:space="preserve"> </w:t>
      </w:r>
    </w:p>
    <w:p w14:paraId="4534429E" w14:textId="77777777" w:rsidR="00194587" w:rsidRPr="00194587" w:rsidRDefault="00194587" w:rsidP="00194587">
      <w:pPr>
        <w:jc w:val="both"/>
        <w:rPr>
          <w:rFonts w:ascii="Times New Roman" w:hAnsi="Times New Roman" w:cs="Times New Roman"/>
          <w:i/>
          <w:iCs/>
          <w:lang w:val="es-ES_tradnl"/>
        </w:rPr>
      </w:pPr>
    </w:p>
    <w:p w14:paraId="04D2BAF0" w14:textId="26F1551E" w:rsidR="00194587" w:rsidRPr="00194587" w:rsidRDefault="00194587" w:rsidP="00194587">
      <w:pPr>
        <w:jc w:val="both"/>
        <w:rPr>
          <w:rFonts w:ascii="Times New Roman" w:hAnsi="Times New Roman" w:cs="Times New Roman"/>
          <w:i/>
          <w:iCs/>
        </w:rPr>
      </w:pPr>
      <w:r w:rsidRPr="00194587">
        <w:rPr>
          <w:rFonts w:ascii="Times New Roman" w:hAnsi="Times New Roman" w:cs="Times New Roman"/>
          <w:i/>
          <w:iCs/>
        </w:rPr>
        <w:t>Basado en la posiblidad de poder manejar los análisis de series de tiempo del precio de referencia de la energía en bolsa, se propone utilizar una metodología ARIMA que permita evaluar el comportamiento de la variable y</w:t>
      </w:r>
      <w:r w:rsidRPr="00194587">
        <w:rPr>
          <w:rFonts w:ascii="Times New Roman" w:hAnsi="Times New Roman" w:cs="Times New Roman"/>
          <w:i/>
          <w:iCs/>
          <w:lang w:val="es-ES_tradnl"/>
        </w:rPr>
        <w:t xml:space="preserve"> </w:t>
      </w:r>
      <w:r w:rsidRPr="00194587">
        <w:rPr>
          <w:rFonts w:ascii="Times New Roman" w:hAnsi="Times New Roman" w:cs="Times New Roman"/>
          <w:i/>
          <w:iCs/>
        </w:rPr>
        <w:t>sus componentes, comparandola con un pronóstico obtenido de la recientemente desarrollada metodología Prophet, de manera de analizar las ventajas y desventajas de ambos modelos a la hora del horizonte de pronóstico y la facilidad de añadir</w:t>
      </w:r>
      <w:r w:rsidRPr="00194587">
        <w:rPr>
          <w:rFonts w:ascii="Times New Roman" w:hAnsi="Times New Roman" w:cs="Times New Roman"/>
          <w:i/>
          <w:iCs/>
          <w:lang w:val="es-ES_tradnl"/>
        </w:rPr>
        <w:t xml:space="preserve"> </w:t>
      </w:r>
      <w:r w:rsidRPr="00194587">
        <w:rPr>
          <w:rFonts w:ascii="Times New Roman" w:hAnsi="Times New Roman" w:cs="Times New Roman"/>
          <w:i/>
          <w:iCs/>
        </w:rPr>
        <w:t>efectos de otras variables</w:t>
      </w:r>
      <w:r w:rsidRPr="00194587">
        <w:rPr>
          <w:rFonts w:ascii="Times New Roman" w:hAnsi="Times New Roman" w:cs="Times New Roman"/>
          <w:i/>
          <w:iCs/>
          <w:lang w:val="es-ES_tradnl"/>
        </w:rPr>
        <w:t xml:space="preserve"> que recojan parte de los efectos no observables</w:t>
      </w:r>
      <w:r w:rsidRPr="00194587">
        <w:rPr>
          <w:rFonts w:ascii="Times New Roman" w:hAnsi="Times New Roman" w:cs="Times New Roman"/>
          <w:i/>
          <w:iCs/>
        </w:rPr>
        <w:t>.</w:t>
      </w:r>
    </w:p>
    <w:p w14:paraId="235A3EE0" w14:textId="77777777" w:rsidR="00194587" w:rsidRPr="00194587" w:rsidRDefault="00194587" w:rsidP="00194587">
      <w:pPr>
        <w:rPr>
          <w:rFonts w:ascii="Times New Roman" w:hAnsi="Times New Roman" w:cs="Times New Roman"/>
        </w:rPr>
      </w:pPr>
    </w:p>
    <w:p w14:paraId="77F85A9A" w14:textId="30E5848D" w:rsidR="00867549" w:rsidRPr="00194587" w:rsidRDefault="00194587" w:rsidP="00194587">
      <w:pPr>
        <w:rPr>
          <w:rFonts w:ascii="Times New Roman" w:hAnsi="Times New Roman" w:cs="Times New Roman"/>
        </w:rPr>
      </w:pPr>
      <w:r w:rsidRPr="00194587">
        <w:rPr>
          <w:rFonts w:ascii="Times New Roman" w:hAnsi="Times New Roman" w:cs="Times New Roman"/>
        </w:rPr>
        <w:t xml:space="preserve">Palabras Clave: </w:t>
      </w:r>
      <w:r w:rsidRPr="00194587">
        <w:rPr>
          <w:rFonts w:ascii="Times New Roman" w:hAnsi="Times New Roman" w:cs="Times New Roman"/>
          <w:lang w:val="es-ES_tradnl"/>
        </w:rPr>
        <w:t>ARIMA</w:t>
      </w:r>
      <w:r w:rsidRPr="00194587">
        <w:rPr>
          <w:rFonts w:ascii="Times New Roman" w:hAnsi="Times New Roman" w:cs="Times New Roman"/>
        </w:rPr>
        <w:t>, Clima, ENSO, Prophet</w:t>
      </w:r>
    </w:p>
    <w:p w14:paraId="04AA90BA" w14:textId="1E7ED3B0" w:rsidR="00867549" w:rsidRDefault="00867549" w:rsidP="00023672"/>
    <w:p w14:paraId="028BCF8C" w14:textId="48A5E1B6" w:rsidR="00867549" w:rsidRDefault="00867549" w:rsidP="00023672"/>
    <w:p w14:paraId="1ED0D146" w14:textId="4BF91FDA" w:rsidR="00867549" w:rsidRDefault="00867549" w:rsidP="00023672"/>
    <w:p w14:paraId="2F47DB98" w14:textId="72C0112F" w:rsidR="00867549" w:rsidRDefault="00867549" w:rsidP="00023672"/>
    <w:p w14:paraId="4D603667" w14:textId="7F13F0D8" w:rsidR="00867549" w:rsidRDefault="00867549" w:rsidP="00023672"/>
    <w:p w14:paraId="3B0B9018" w14:textId="45A3CBD9" w:rsidR="00867549" w:rsidRDefault="00867549" w:rsidP="00023672"/>
    <w:p w14:paraId="37D02996" w14:textId="47D82C98" w:rsidR="00867549" w:rsidRDefault="00867549" w:rsidP="00023672"/>
    <w:p w14:paraId="4B339989" w14:textId="15960034" w:rsidR="00867549" w:rsidRDefault="00867549" w:rsidP="00023672"/>
    <w:p w14:paraId="36927FCA" w14:textId="2D3D4B5D" w:rsidR="00867549" w:rsidRDefault="00867549" w:rsidP="00023672"/>
    <w:p w14:paraId="2381069A" w14:textId="27E7174A" w:rsidR="00867549" w:rsidRDefault="00867549" w:rsidP="00023672"/>
    <w:p w14:paraId="67754773" w14:textId="1942F141" w:rsidR="00867549" w:rsidRDefault="00867549" w:rsidP="00023672"/>
    <w:p w14:paraId="382E025C" w14:textId="00EC7674" w:rsidR="00867549" w:rsidRDefault="00867549" w:rsidP="00023672"/>
    <w:p w14:paraId="0A88E575" w14:textId="40D77E84" w:rsidR="00194587" w:rsidRDefault="00194587" w:rsidP="00023672"/>
    <w:p w14:paraId="261D5819" w14:textId="4EC97379" w:rsidR="00194587" w:rsidRDefault="00194587" w:rsidP="00023672"/>
    <w:p w14:paraId="215FD23C" w14:textId="74110323" w:rsidR="00194587" w:rsidRDefault="00194587" w:rsidP="00023672"/>
    <w:p w14:paraId="4BB25086" w14:textId="12C7F36F" w:rsidR="00194587" w:rsidRDefault="00194587" w:rsidP="00023672"/>
    <w:p w14:paraId="1BD29922" w14:textId="79495C7A" w:rsidR="00194587" w:rsidRDefault="00194587" w:rsidP="00023672"/>
    <w:p w14:paraId="0E6DBE31" w14:textId="232619AC" w:rsidR="00194587" w:rsidRDefault="00194587" w:rsidP="00023672"/>
    <w:p w14:paraId="07B393FC" w14:textId="0F40DC61" w:rsidR="00194587" w:rsidRDefault="00194587" w:rsidP="00023672"/>
    <w:p w14:paraId="465320B2" w14:textId="7E1A33FD" w:rsidR="00194587" w:rsidRDefault="00194587" w:rsidP="00023672"/>
    <w:p w14:paraId="4E495D42" w14:textId="77777777" w:rsidR="00194587" w:rsidRDefault="00194587" w:rsidP="00023672"/>
    <w:p w14:paraId="7A5E9BB2" w14:textId="77777777" w:rsidR="00867549" w:rsidRDefault="00867549" w:rsidP="00023672"/>
    <w:p w14:paraId="6A36156C" w14:textId="6E36051A" w:rsidR="00DD23C8" w:rsidRPr="00F47BD1" w:rsidRDefault="00F47BD1" w:rsidP="00DD23C8">
      <w:pPr>
        <w:rPr>
          <w:rFonts w:ascii="Times New Roman" w:eastAsia="Times New Roman" w:hAnsi="Times New Roman" w:cs="Times New Roman"/>
          <w:b/>
          <w:bCs/>
          <w:lang w:val="es-ES_tradnl"/>
        </w:rPr>
      </w:pPr>
      <w:r w:rsidRPr="00F47BD1">
        <w:rPr>
          <w:rFonts w:ascii="Times New Roman" w:eastAsia="Times New Roman" w:hAnsi="Times New Roman" w:cs="Times New Roman"/>
          <w:b/>
          <w:bCs/>
          <w:lang w:val="es-ES_tradnl"/>
        </w:rPr>
        <w:t>Introducción</w:t>
      </w:r>
    </w:p>
    <w:p w14:paraId="33578C35" w14:textId="77777777" w:rsidR="00F47BD1" w:rsidRPr="00F47BD1" w:rsidRDefault="00F47BD1" w:rsidP="00DD23C8">
      <w:pPr>
        <w:rPr>
          <w:rFonts w:ascii="Times New Roman" w:eastAsia="Times New Roman" w:hAnsi="Times New Roman" w:cs="Times New Roman"/>
          <w:lang w:val="es-ES_tradnl"/>
        </w:rPr>
      </w:pPr>
    </w:p>
    <w:p w14:paraId="7AA8AA49" w14:textId="50134A7D" w:rsidR="00DD4C98" w:rsidRDefault="00DD4C98" w:rsidP="00DD4C98">
      <w:pPr>
        <w:jc w:val="both"/>
        <w:rPr>
          <w:rFonts w:ascii="Times New Roman" w:hAnsi="Times New Roman" w:cs="Times New Roman"/>
        </w:rPr>
      </w:pPr>
      <w:r>
        <w:rPr>
          <w:rFonts w:ascii="Times New Roman" w:hAnsi="Times New Roman" w:cs="Times New Roman"/>
        </w:rPr>
        <w:t xml:space="preserve">El precio de bolsa de energía eléctrica en Colombia es un indicador que afecta en general a todo el país, como usuarios residenciales, nuestros comercializadores de energía eléctrica compran energía en bolsa, las grandes industrias normalmente negocian el precio de la energía de sus contratos en base a las expectativas del precio de bolsa (una industria puede decidir comprar la totalidad de su energía en bolsa, negociar una tarifa fija o una mezcla entre compras en bolsa y precio fijo). Desde el punto de vista de los generadores de energía eléctrica, </w:t>
      </w:r>
      <w:r>
        <w:rPr>
          <w:rFonts w:ascii="Times New Roman" w:hAnsi="Times New Roman" w:cs="Times New Roman"/>
          <w:lang w:val="es-ES_tradnl"/>
        </w:rPr>
        <w:t>se</w:t>
      </w:r>
      <w:r>
        <w:rPr>
          <w:rFonts w:ascii="Times New Roman" w:hAnsi="Times New Roman" w:cs="Times New Roman"/>
        </w:rPr>
        <w:t xml:space="preserve"> decisiones </w:t>
      </w:r>
      <w:r>
        <w:rPr>
          <w:rFonts w:ascii="Times New Roman" w:hAnsi="Times New Roman" w:cs="Times New Roman"/>
          <w:lang w:val="es-ES_tradnl"/>
        </w:rPr>
        <w:t>sobre</w:t>
      </w:r>
      <w:r>
        <w:rPr>
          <w:rFonts w:ascii="Times New Roman" w:hAnsi="Times New Roman" w:cs="Times New Roman"/>
        </w:rPr>
        <w:t xml:space="preserve"> cuanta energía quieren vender y/o comprar en bolsa, </w:t>
      </w:r>
      <w:r>
        <w:rPr>
          <w:rFonts w:ascii="Times New Roman" w:hAnsi="Times New Roman" w:cs="Times New Roman"/>
          <w:lang w:val="es-ES_tradnl"/>
        </w:rPr>
        <w:t>y esto va a depender</w:t>
      </w:r>
      <w:r>
        <w:rPr>
          <w:rFonts w:ascii="Times New Roman" w:hAnsi="Times New Roman" w:cs="Times New Roman"/>
        </w:rPr>
        <w:t xml:space="preserve"> de los contratos que </w:t>
      </w:r>
      <w:r>
        <w:rPr>
          <w:rFonts w:ascii="Times New Roman" w:hAnsi="Times New Roman" w:cs="Times New Roman"/>
          <w:lang w:val="es-ES_tradnl"/>
        </w:rPr>
        <w:t>se</w:t>
      </w:r>
      <w:r>
        <w:rPr>
          <w:rFonts w:ascii="Times New Roman" w:hAnsi="Times New Roman" w:cs="Times New Roman"/>
        </w:rPr>
        <w:t xml:space="preserve"> tengan con los comercializadores y de la expectativa del precio de bolsa.</w:t>
      </w:r>
    </w:p>
    <w:p w14:paraId="3399AC94" w14:textId="0D64E83E" w:rsidR="00DD4C98" w:rsidRDefault="00DD4C98" w:rsidP="00DD4C98">
      <w:pPr>
        <w:jc w:val="both"/>
        <w:rPr>
          <w:rFonts w:ascii="Times New Roman" w:hAnsi="Times New Roman" w:cs="Times New Roman"/>
        </w:rPr>
      </w:pPr>
      <w:r>
        <w:rPr>
          <w:rFonts w:ascii="Times New Roman" w:hAnsi="Times New Roman" w:cs="Times New Roman"/>
        </w:rPr>
        <w:t>Por lo anterior, para la mayoría de los agentes del mercado de energía eléctrica en Colombia es muy importante conocer el precio de bolsa y esto nos motiva a que el objetivo de este proyecto sea crear un modelo de predicción del precio de bolsa horario de la energía eléctrica en Colombia basado en series de tiempo</w:t>
      </w:r>
      <w:r>
        <w:rPr>
          <w:rFonts w:ascii="Times New Roman" w:hAnsi="Times New Roman" w:cs="Times New Roman"/>
          <w:lang w:val="es-ES_tradnl"/>
        </w:rPr>
        <w:t>.</w:t>
      </w:r>
      <w:r>
        <w:rPr>
          <w:rFonts w:ascii="Times New Roman" w:hAnsi="Times New Roman" w:cs="Times New Roman"/>
        </w:rPr>
        <w:t xml:space="preserve"> </w:t>
      </w:r>
    </w:p>
    <w:p w14:paraId="549E98E0" w14:textId="77777777" w:rsidR="00D54F13" w:rsidRDefault="00D54F13" w:rsidP="00D54F13">
      <w:pPr>
        <w:jc w:val="both"/>
        <w:rPr>
          <w:rFonts w:ascii="Times New Roman" w:hAnsi="Times New Roman" w:cs="Times New Roman"/>
          <w:lang w:val="es-MX"/>
        </w:rPr>
      </w:pPr>
      <w:r>
        <w:rPr>
          <w:rFonts w:ascii="Times New Roman" w:hAnsi="Times New Roman" w:cs="Times New Roman"/>
        </w:rPr>
        <w:t xml:space="preserve">Respecto a la estimación del precio de bolsa, hay varios artículos que ya han abordado este tema, de los cuales Barrientos y Toro (2016) concluyeron que </w:t>
      </w:r>
      <w:r w:rsidRPr="00FB6A0D">
        <w:rPr>
          <w:rFonts w:ascii="Times New Roman" w:hAnsi="Times New Roman" w:cs="Times New Roman"/>
          <w:lang w:val="es-MX"/>
        </w:rPr>
        <w:t>las variables que afectan principalmente los precios de la energía son: la demanda, la hidrología y la disponibilidad declarada</w:t>
      </w:r>
      <w:r>
        <w:rPr>
          <w:rFonts w:ascii="Times New Roman" w:hAnsi="Times New Roman" w:cs="Times New Roman"/>
          <w:lang w:val="es-MX"/>
        </w:rPr>
        <w:t>. En el estudio de Toro (2015) también se demuestra la influencia de variables hidrológicas (aportes - caudales – lluvias y reservas – nivel de los embalses) tienen un impacto en el precio de bolsa. Lo anterior, intuitivamente tiene sentido dado que cerca del 70% de las centrales de generación de energía eléctrica en Colombia son hidráulicas.</w:t>
      </w:r>
    </w:p>
    <w:p w14:paraId="732E5C7A" w14:textId="77777777" w:rsidR="00D54F13" w:rsidRPr="00D54F13" w:rsidRDefault="00D54F13" w:rsidP="00DD4C98">
      <w:pPr>
        <w:jc w:val="both"/>
        <w:rPr>
          <w:rFonts w:ascii="Times New Roman" w:hAnsi="Times New Roman" w:cs="Times New Roman"/>
          <w:lang w:val="es-MX"/>
        </w:rPr>
      </w:pPr>
    </w:p>
    <w:p w14:paraId="062A3258" w14:textId="77777777" w:rsidR="00DD23C8" w:rsidRDefault="00DD23C8" w:rsidP="00DD23C8">
      <w:pPr>
        <w:rPr>
          <w:rFonts w:ascii="Times New Roman" w:eastAsia="Times New Roman" w:hAnsi="Times New Roman" w:cs="Times New Roman"/>
        </w:rPr>
      </w:pPr>
    </w:p>
    <w:p w14:paraId="45CEB430" w14:textId="668EBDEC" w:rsidR="00DD23C8" w:rsidRPr="00F47BD1" w:rsidRDefault="00F47BD1" w:rsidP="00DD23C8">
      <w:pPr>
        <w:rPr>
          <w:rFonts w:ascii="Times New Roman" w:eastAsia="Times New Roman" w:hAnsi="Times New Roman" w:cs="Times New Roman"/>
          <w:b/>
          <w:bCs/>
          <w:lang w:val="es-ES_tradnl"/>
        </w:rPr>
      </w:pPr>
      <w:r w:rsidRPr="00F47BD1">
        <w:rPr>
          <w:rFonts w:ascii="Times New Roman" w:eastAsia="Times New Roman" w:hAnsi="Times New Roman" w:cs="Times New Roman"/>
          <w:b/>
          <w:bCs/>
          <w:lang w:val="es-ES_tradnl"/>
        </w:rPr>
        <w:t xml:space="preserve">Datos </w:t>
      </w:r>
    </w:p>
    <w:p w14:paraId="0D18E7B2" w14:textId="77777777" w:rsidR="00F47BD1" w:rsidRPr="00F47BD1" w:rsidRDefault="00F47BD1" w:rsidP="00DD23C8">
      <w:pPr>
        <w:rPr>
          <w:rFonts w:ascii="Times New Roman" w:eastAsia="Times New Roman" w:hAnsi="Times New Roman" w:cs="Times New Roman"/>
          <w:lang w:val="es-ES_tradnl"/>
        </w:rPr>
      </w:pPr>
    </w:p>
    <w:p w14:paraId="776B86D9" w14:textId="4898E3FA" w:rsidR="00D26741" w:rsidRDefault="00121429" w:rsidP="00F47BD1">
      <w:pPr>
        <w:jc w:val="both"/>
        <w:rPr>
          <w:rFonts w:ascii="Times New Roman" w:eastAsia="Times New Roman" w:hAnsi="Times New Roman" w:cs="Times New Roman"/>
          <w:lang w:val="es-ES_tradnl"/>
        </w:rPr>
      </w:pPr>
      <w:r>
        <w:rPr>
          <w:rFonts w:ascii="Times New Roman" w:eastAsia="Times New Roman" w:hAnsi="Times New Roman" w:cs="Times New Roman"/>
          <w:lang w:val="es-ES_tradnl"/>
        </w:rPr>
        <w:t>Los datos utilizados provienen de fuentes públicas y oficiales, esto facilita la posibilidad de construir una de base de datos amplia y cercana a las tendencias reales. Las fuentes utilizadas son: NOAA, XM (</w:t>
      </w:r>
      <w:proofErr w:type="spellStart"/>
      <w:r>
        <w:rPr>
          <w:rFonts w:ascii="Times New Roman" w:eastAsia="Times New Roman" w:hAnsi="Times New Roman" w:cs="Times New Roman"/>
          <w:lang w:val="es-ES_tradnl"/>
        </w:rPr>
        <w:t>Sinergox</w:t>
      </w:r>
      <w:proofErr w:type="spellEnd"/>
      <w:r>
        <w:rPr>
          <w:rFonts w:ascii="Times New Roman" w:eastAsia="Times New Roman" w:hAnsi="Times New Roman" w:cs="Times New Roman"/>
          <w:lang w:val="es-ES_tradnl"/>
        </w:rPr>
        <w:t xml:space="preserve">), EIA. Dado que la energía eléctrica en Colombia proviene aproximadamente </w:t>
      </w:r>
      <w:r w:rsidR="0089587F">
        <w:rPr>
          <w:rFonts w:ascii="Times New Roman" w:eastAsia="Times New Roman" w:hAnsi="Times New Roman" w:cs="Times New Roman"/>
          <w:lang w:val="es-ES_tradnl"/>
        </w:rPr>
        <w:t>en 70% de las hidroeléctricas, consideramos los datos sobre aportes (lluvias) y reservas (nivel de los embalses) fundamentales para determinar el precio de bolsa de la energía.</w:t>
      </w:r>
      <w:r w:rsidR="00D26741">
        <w:rPr>
          <w:rFonts w:ascii="Times New Roman" w:eastAsia="Times New Roman" w:hAnsi="Times New Roman" w:cs="Times New Roman"/>
          <w:lang w:val="es-ES_tradnl"/>
        </w:rPr>
        <w:t xml:space="preserve"> Las variables utilizadas como predictores del precio de bolsa son </w:t>
      </w:r>
      <w:r w:rsidR="007F63D3">
        <w:rPr>
          <w:rFonts w:ascii="Times New Roman" w:eastAsia="Times New Roman" w:hAnsi="Times New Roman" w:cs="Times New Roman"/>
          <w:i/>
          <w:iCs/>
          <w:lang w:val="es-ES_tradnl"/>
        </w:rPr>
        <w:t xml:space="preserve">generación térmica, ENSO (indicador diferenciador del fenómeno climático de la Niña, el Niño, y condiciones de neutralidad), precio </w:t>
      </w:r>
      <w:proofErr w:type="spellStart"/>
      <w:r w:rsidR="007F63D3">
        <w:rPr>
          <w:rFonts w:ascii="Times New Roman" w:eastAsia="Times New Roman" w:hAnsi="Times New Roman" w:cs="Times New Roman"/>
          <w:i/>
          <w:iCs/>
          <w:lang w:val="es-ES_tradnl"/>
        </w:rPr>
        <w:t>Herny</w:t>
      </w:r>
      <w:proofErr w:type="spellEnd"/>
      <w:r w:rsidR="007F63D3">
        <w:rPr>
          <w:rFonts w:ascii="Times New Roman" w:eastAsia="Times New Roman" w:hAnsi="Times New Roman" w:cs="Times New Roman"/>
          <w:i/>
          <w:iCs/>
          <w:lang w:val="es-ES_tradnl"/>
        </w:rPr>
        <w:t>-</w:t>
      </w:r>
      <w:proofErr w:type="gramStart"/>
      <w:r w:rsidR="007F63D3">
        <w:rPr>
          <w:rFonts w:ascii="Times New Roman" w:eastAsia="Times New Roman" w:hAnsi="Times New Roman" w:cs="Times New Roman"/>
          <w:i/>
          <w:iCs/>
          <w:lang w:val="es-ES_tradnl"/>
        </w:rPr>
        <w:t>Hub</w:t>
      </w:r>
      <w:proofErr w:type="gramEnd"/>
      <w:r w:rsidR="007F63D3">
        <w:rPr>
          <w:rFonts w:ascii="Times New Roman" w:eastAsia="Times New Roman" w:hAnsi="Times New Roman" w:cs="Times New Roman"/>
          <w:i/>
          <w:iCs/>
          <w:lang w:val="es-ES_tradnl"/>
        </w:rPr>
        <w:t xml:space="preserve"> (precio internacional del gas natural). </w:t>
      </w:r>
      <w:r w:rsidR="0089587F">
        <w:rPr>
          <w:rFonts w:ascii="Times New Roman" w:eastAsia="Times New Roman" w:hAnsi="Times New Roman" w:cs="Times New Roman"/>
          <w:lang w:val="es-ES_tradnl"/>
        </w:rPr>
        <w:t xml:space="preserve"> </w:t>
      </w:r>
    </w:p>
    <w:p w14:paraId="5B1D1889" w14:textId="77777777" w:rsidR="00D26741" w:rsidRDefault="00D26741" w:rsidP="00F47BD1">
      <w:pPr>
        <w:jc w:val="both"/>
        <w:rPr>
          <w:rFonts w:ascii="Times New Roman" w:eastAsia="Times New Roman" w:hAnsi="Times New Roman" w:cs="Times New Roman"/>
          <w:lang w:val="es-ES_tradnl"/>
        </w:rPr>
      </w:pPr>
    </w:p>
    <w:p w14:paraId="63A19AC7" w14:textId="73212F36" w:rsidR="00E45D27" w:rsidRDefault="0089587F" w:rsidP="00F47BD1">
      <w:pPr>
        <w:jc w:val="both"/>
        <w:rPr>
          <w:rFonts w:ascii="Times New Roman" w:eastAsia="Times New Roman" w:hAnsi="Times New Roman" w:cs="Times New Roman"/>
          <w:lang w:val="es-ES_tradnl"/>
        </w:rPr>
      </w:pPr>
      <w:r>
        <w:rPr>
          <w:rFonts w:ascii="Times New Roman" w:eastAsia="Times New Roman" w:hAnsi="Times New Roman" w:cs="Times New Roman"/>
          <w:lang w:val="es-ES_tradnl"/>
        </w:rPr>
        <w:t>Adicionalmente, se encuentra que a partir de enero de 2018 el cálculo del techo de los precios de bolsa, por esta razón se toma</w:t>
      </w:r>
      <w:r w:rsidR="00E45D27">
        <w:rPr>
          <w:rFonts w:ascii="Times New Roman" w:eastAsia="Times New Roman" w:hAnsi="Times New Roman" w:cs="Times New Roman"/>
          <w:lang w:val="es-ES_tradnl"/>
        </w:rPr>
        <w:t xml:space="preserve">n los datos a partir de esta fecha. </w:t>
      </w:r>
    </w:p>
    <w:p w14:paraId="4314F1D1" w14:textId="4202BF11" w:rsidR="00E45D27" w:rsidRDefault="00E45D27" w:rsidP="00DD23C8">
      <w:pPr>
        <w:rPr>
          <w:rFonts w:ascii="Times New Roman" w:eastAsia="Times New Roman" w:hAnsi="Times New Roman" w:cs="Times New Roman"/>
          <w:lang w:val="es-ES_tradnl"/>
        </w:rPr>
      </w:pPr>
    </w:p>
    <w:p w14:paraId="0A456893" w14:textId="5AAEB09F" w:rsidR="00DD23C8" w:rsidRPr="00E056D6" w:rsidRDefault="00E056D6" w:rsidP="00E056D6">
      <w:pPr>
        <w:rPr>
          <w:rFonts w:ascii="Times New Roman" w:eastAsia="Times New Roman" w:hAnsi="Times New Roman" w:cs="Times New Roman"/>
          <w:lang w:val="es-ES_tradnl"/>
        </w:rPr>
      </w:pPr>
      <w:r>
        <w:rPr>
          <w:rFonts w:ascii="Times New Roman" w:hAnsi="Times New Roman" w:cs="Times New Roman"/>
          <w:i/>
          <w:iCs/>
          <w:lang w:val="es-ES_tradnl"/>
        </w:rPr>
        <w:lastRenderedPageBreak/>
        <w:t>G</w:t>
      </w:r>
      <w:r w:rsidRPr="00770F92">
        <w:rPr>
          <w:rFonts w:ascii="Times New Roman" w:hAnsi="Times New Roman" w:cs="Times New Roman"/>
          <w:i/>
          <w:iCs/>
        </w:rPr>
        <w:t>ráfic</w:t>
      </w:r>
      <w:r>
        <w:rPr>
          <w:rFonts w:ascii="Times New Roman" w:hAnsi="Times New Roman" w:cs="Times New Roman"/>
          <w:i/>
          <w:iCs/>
        </w:rPr>
        <w:t>a</w:t>
      </w:r>
      <w:r w:rsidRPr="00770F92">
        <w:rPr>
          <w:rFonts w:ascii="Times New Roman" w:hAnsi="Times New Roman" w:cs="Times New Roman"/>
          <w:i/>
          <w:iCs/>
        </w:rPr>
        <w:t xml:space="preserve"> 1. </w:t>
      </w:r>
      <w:r>
        <w:rPr>
          <w:rFonts w:ascii="Times New Roman" w:hAnsi="Times New Roman" w:cs="Times New Roman"/>
          <w:i/>
          <w:iCs/>
          <w:lang w:val="es-ES_tradnl"/>
        </w:rPr>
        <w:t>P</w:t>
      </w:r>
      <w:r w:rsidRPr="00770F92">
        <w:rPr>
          <w:rFonts w:ascii="Times New Roman" w:hAnsi="Times New Roman" w:cs="Times New Roman"/>
          <w:i/>
          <w:iCs/>
        </w:rPr>
        <w:t>recio de bolsa colombiano para energía eléctrica</w:t>
      </w:r>
      <w:r w:rsidR="00E45D27">
        <w:rPr>
          <w:rFonts w:ascii="Times New Roman" w:eastAsia="Times New Roman" w:hAnsi="Times New Roman" w:cs="Times New Roman"/>
          <w:noProof/>
          <w:lang w:val="es-ES_tradnl"/>
        </w:rPr>
        <w:drawing>
          <wp:inline distT="0" distB="0" distL="0" distR="0" wp14:anchorId="4894BEF1" wp14:editId="779E0B41">
            <wp:extent cx="5857540" cy="2679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64070" cy="2774313"/>
                    </a:xfrm>
                    <a:prstGeom prst="rect">
                      <a:avLst/>
                    </a:prstGeom>
                  </pic:spPr>
                </pic:pic>
              </a:graphicData>
            </a:graphic>
          </wp:inline>
        </w:drawing>
      </w:r>
      <w:r w:rsidR="0089587F">
        <w:rPr>
          <w:rFonts w:ascii="Times New Roman" w:eastAsia="Times New Roman" w:hAnsi="Times New Roman" w:cs="Times New Roman"/>
          <w:lang w:val="es-ES_tradnl"/>
        </w:rPr>
        <w:t xml:space="preserve">   </w:t>
      </w:r>
      <w:r w:rsidRPr="00E056D6">
        <w:rPr>
          <w:rFonts w:ascii="Times New Roman" w:eastAsia="Times New Roman" w:hAnsi="Times New Roman" w:cs="Times New Roman"/>
          <w:lang w:val="es-ES_tradnl"/>
        </w:rPr>
        <w:t>*</w:t>
      </w:r>
      <w:r w:rsidRPr="00E056D6">
        <w:rPr>
          <w:rFonts w:ascii="Times New Roman" w:eastAsia="Times New Roman" w:hAnsi="Times New Roman" w:cs="Times New Roman"/>
          <w:i/>
          <w:iCs/>
          <w:sz w:val="20"/>
          <w:szCs w:val="20"/>
          <w:lang w:val="es-ES_tradnl"/>
        </w:rPr>
        <w:t>Elaboración propia</w:t>
      </w:r>
    </w:p>
    <w:p w14:paraId="2F114589" w14:textId="77777777" w:rsidR="007F63D3" w:rsidRDefault="007F63D3" w:rsidP="00DD23C8">
      <w:pPr>
        <w:rPr>
          <w:rFonts w:ascii="Times New Roman" w:eastAsia="Times New Roman" w:hAnsi="Times New Roman" w:cs="Times New Roman"/>
          <w:lang w:val="es-ES_tradnl"/>
        </w:rPr>
      </w:pPr>
    </w:p>
    <w:p w14:paraId="1922283F" w14:textId="77777777" w:rsidR="007F63D3" w:rsidRDefault="007F63D3" w:rsidP="00DD23C8">
      <w:pPr>
        <w:rPr>
          <w:rFonts w:ascii="Times New Roman" w:eastAsia="Times New Roman" w:hAnsi="Times New Roman" w:cs="Times New Roman"/>
          <w:lang w:val="es-ES_tradnl"/>
        </w:rPr>
      </w:pPr>
    </w:p>
    <w:p w14:paraId="5D6F6F9D" w14:textId="743BE85D" w:rsidR="00D26741" w:rsidRPr="00E056D6" w:rsidRDefault="00FD1B47" w:rsidP="00F47BD1">
      <w:pPr>
        <w:jc w:val="both"/>
        <w:rPr>
          <w:rFonts w:ascii="Times New Roman" w:eastAsia="Times New Roman" w:hAnsi="Times New Roman" w:cs="Times New Roman"/>
          <w:lang w:val="es-ES_tradnl"/>
        </w:rPr>
      </w:pPr>
      <w:r>
        <w:rPr>
          <w:rFonts w:ascii="Times New Roman" w:eastAsia="Times New Roman" w:hAnsi="Times New Roman" w:cs="Times New Roman"/>
          <w:lang w:val="es-ES_tradnl"/>
        </w:rPr>
        <w:t>Para el tratamiento de los datos</w:t>
      </w:r>
      <w:r w:rsidR="00D54F13">
        <w:rPr>
          <w:rFonts w:ascii="Times New Roman" w:eastAsia="Times New Roman" w:hAnsi="Times New Roman" w:cs="Times New Roman"/>
          <w:lang w:val="es-ES_tradnl"/>
        </w:rPr>
        <w:t xml:space="preserve"> de precio de bolsa se da la </w:t>
      </w:r>
      <w:proofErr w:type="spellStart"/>
      <w:r w:rsidR="00D54F13">
        <w:rPr>
          <w:rFonts w:ascii="Times New Roman" w:eastAsia="Times New Roman" w:hAnsi="Times New Roman" w:cs="Times New Roman"/>
          <w:lang w:val="es-ES_tradnl"/>
        </w:rPr>
        <w:t>estacionareidad</w:t>
      </w:r>
      <w:proofErr w:type="spellEnd"/>
      <w:r w:rsidR="00D54F13">
        <w:rPr>
          <w:rFonts w:ascii="Times New Roman" w:eastAsia="Times New Roman" w:hAnsi="Times New Roman" w:cs="Times New Roman"/>
          <w:lang w:val="es-ES_tradnl"/>
        </w:rPr>
        <w:t xml:space="preserve"> a partir de tratar los datos con un nivel de diferenciación. A partir de este proceso y como se puede ver en </w:t>
      </w:r>
      <w:r w:rsidR="00D118AC">
        <w:rPr>
          <w:rFonts w:ascii="Times New Roman" w:eastAsia="Times New Roman" w:hAnsi="Times New Roman" w:cs="Times New Roman"/>
          <w:lang w:val="es-ES_tradnl"/>
        </w:rPr>
        <w:t xml:space="preserve">la </w:t>
      </w:r>
      <w:r w:rsidR="00E06B25">
        <w:rPr>
          <w:rFonts w:ascii="Times New Roman" w:eastAsia="Times New Roman" w:hAnsi="Times New Roman" w:cs="Times New Roman"/>
          <w:i/>
          <w:iCs/>
          <w:lang w:val="es-ES_tradnl"/>
        </w:rPr>
        <w:t>gráfica</w:t>
      </w:r>
      <w:r w:rsidR="00D118AC">
        <w:rPr>
          <w:rFonts w:ascii="Times New Roman" w:eastAsia="Times New Roman" w:hAnsi="Times New Roman" w:cs="Times New Roman"/>
          <w:i/>
          <w:iCs/>
          <w:lang w:val="es-ES_tradnl"/>
        </w:rPr>
        <w:t xml:space="preserve"> 1 </w:t>
      </w:r>
      <w:r w:rsidR="00D118AC">
        <w:rPr>
          <w:rFonts w:ascii="Times New Roman" w:eastAsia="Times New Roman" w:hAnsi="Times New Roman" w:cs="Times New Roman"/>
          <w:lang w:val="es-ES_tradnl"/>
        </w:rPr>
        <w:t>se puede determinar que la serie de tiempo es estacionaria</w:t>
      </w:r>
      <w:r w:rsidR="00D26741">
        <w:rPr>
          <w:rFonts w:ascii="Times New Roman" w:eastAsia="Times New Roman" w:hAnsi="Times New Roman" w:cs="Times New Roman"/>
          <w:lang w:val="es-ES_tradnl"/>
        </w:rPr>
        <w:t>, esto</w:t>
      </w:r>
      <w:r w:rsidR="00D118AC">
        <w:rPr>
          <w:rFonts w:ascii="Times New Roman" w:eastAsia="Times New Roman" w:hAnsi="Times New Roman" w:cs="Times New Roman"/>
          <w:lang w:val="es-ES_tradnl"/>
        </w:rPr>
        <w:t xml:space="preserve"> se comprueban con la prueba de </w:t>
      </w:r>
      <w:proofErr w:type="spellStart"/>
      <w:r w:rsidR="00D118AC">
        <w:rPr>
          <w:rFonts w:ascii="Times New Roman" w:eastAsia="Times New Roman" w:hAnsi="Times New Roman" w:cs="Times New Roman"/>
          <w:lang w:val="es-ES_tradnl"/>
        </w:rPr>
        <w:t>Dickey</w:t>
      </w:r>
      <w:proofErr w:type="spellEnd"/>
      <w:r w:rsidR="00D118AC">
        <w:rPr>
          <w:rFonts w:ascii="Times New Roman" w:eastAsia="Times New Roman" w:hAnsi="Times New Roman" w:cs="Times New Roman"/>
          <w:lang w:val="es-ES_tradnl"/>
        </w:rPr>
        <w:t xml:space="preserve">-Fuller, </w:t>
      </w:r>
      <w:r w:rsidR="00D26741">
        <w:rPr>
          <w:rFonts w:ascii="Times New Roman" w:eastAsia="Times New Roman" w:hAnsi="Times New Roman" w:cs="Times New Roman"/>
          <w:lang w:val="es-ES_tradnl"/>
        </w:rPr>
        <w:t xml:space="preserve">y </w:t>
      </w:r>
      <w:r w:rsidR="00D118AC">
        <w:rPr>
          <w:rFonts w:ascii="Times New Roman" w:eastAsia="Times New Roman" w:hAnsi="Times New Roman" w:cs="Times New Roman"/>
          <w:lang w:val="es-ES_tradnl"/>
        </w:rPr>
        <w:t xml:space="preserve">adicionalmente la prueba de </w:t>
      </w:r>
      <w:proofErr w:type="spellStart"/>
      <w:r w:rsidR="00D118AC">
        <w:rPr>
          <w:rFonts w:ascii="Times New Roman" w:eastAsia="Times New Roman" w:hAnsi="Times New Roman" w:cs="Times New Roman"/>
          <w:lang w:val="es-ES_tradnl"/>
        </w:rPr>
        <w:t>Ljung</w:t>
      </w:r>
      <w:proofErr w:type="spellEnd"/>
      <w:r w:rsidR="00D118AC">
        <w:rPr>
          <w:rFonts w:ascii="Times New Roman" w:eastAsia="Times New Roman" w:hAnsi="Times New Roman" w:cs="Times New Roman"/>
          <w:lang w:val="es-ES_tradnl"/>
        </w:rPr>
        <w:t xml:space="preserve">-box nos permite ver las tendencias de </w:t>
      </w:r>
      <w:r w:rsidR="00D26741">
        <w:rPr>
          <w:rFonts w:ascii="Times New Roman" w:eastAsia="Times New Roman" w:hAnsi="Times New Roman" w:cs="Times New Roman"/>
          <w:lang w:val="es-ES_tradnl"/>
        </w:rPr>
        <w:t xml:space="preserve">aleatoriedad y </w:t>
      </w:r>
      <w:r w:rsidR="00D118AC">
        <w:rPr>
          <w:rFonts w:ascii="Times New Roman" w:eastAsia="Times New Roman" w:hAnsi="Times New Roman" w:cs="Times New Roman"/>
          <w:lang w:val="es-ES_tradnl"/>
        </w:rPr>
        <w:t>autocorrelación</w:t>
      </w:r>
      <w:r w:rsidR="00D26741">
        <w:rPr>
          <w:rFonts w:ascii="Times New Roman" w:eastAsia="Times New Roman" w:hAnsi="Times New Roman" w:cs="Times New Roman"/>
          <w:lang w:val="es-ES_tradnl"/>
        </w:rPr>
        <w:t xml:space="preserve"> mostrando que los datos se comportan de manera independiente, especialmente a partir del segundo rezago. </w:t>
      </w:r>
      <w:r w:rsidR="007F63D3">
        <w:rPr>
          <w:rFonts w:ascii="Times New Roman" w:eastAsia="Times New Roman" w:hAnsi="Times New Roman" w:cs="Times New Roman"/>
          <w:lang w:val="es-ES_tradnl"/>
        </w:rPr>
        <w:t>Tras el análisis realizado, los datos pueden ser utilizados como series de tiempo en los modelos planteados a continuación.</w:t>
      </w:r>
    </w:p>
    <w:p w14:paraId="685BDF27" w14:textId="77777777" w:rsidR="00E056D6" w:rsidRDefault="00E056D6" w:rsidP="00DD23C8">
      <w:pPr>
        <w:rPr>
          <w:rFonts w:ascii="Times New Roman" w:eastAsia="Times New Roman" w:hAnsi="Times New Roman" w:cs="Times New Roman"/>
        </w:rPr>
      </w:pPr>
    </w:p>
    <w:p w14:paraId="598FE63B" w14:textId="1D01516A" w:rsidR="00AF6264" w:rsidRDefault="00AF6264" w:rsidP="00DD23C8">
      <w:pPr>
        <w:rPr>
          <w:rFonts w:ascii="Times New Roman" w:eastAsia="Times New Roman" w:hAnsi="Times New Roman" w:cs="Times New Roman"/>
          <w:highlight w:val="yellow"/>
        </w:rPr>
      </w:pPr>
      <w:r>
        <w:rPr>
          <w:rFonts w:ascii="Times New Roman" w:eastAsia="Times New Roman" w:hAnsi="Times New Roman" w:cs="Times New Roman"/>
          <w:noProof/>
        </w:rPr>
        <w:drawing>
          <wp:inline distT="0" distB="0" distL="0" distR="0" wp14:anchorId="22E70968" wp14:editId="0814585C">
            <wp:extent cx="2888055" cy="188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40144" cy="1981046"/>
                    </a:xfrm>
                    <a:prstGeom prst="rect">
                      <a:avLst/>
                    </a:prstGeom>
                  </pic:spPr>
                </pic:pic>
              </a:graphicData>
            </a:graphic>
          </wp:inline>
        </w:drawing>
      </w:r>
      <w:r>
        <w:rPr>
          <w:rFonts w:ascii="Times New Roman" w:eastAsia="Times New Roman" w:hAnsi="Times New Roman" w:cs="Times New Roman"/>
          <w:noProof/>
        </w:rPr>
        <w:drawing>
          <wp:inline distT="0" distB="0" distL="0" distR="0" wp14:anchorId="569D059B" wp14:editId="2E91B2FA">
            <wp:extent cx="3051671" cy="1562288"/>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9422" cy="1627689"/>
                    </a:xfrm>
                    <a:prstGeom prst="rect">
                      <a:avLst/>
                    </a:prstGeom>
                  </pic:spPr>
                </pic:pic>
              </a:graphicData>
            </a:graphic>
          </wp:inline>
        </w:drawing>
      </w:r>
    </w:p>
    <w:p w14:paraId="3BB976CB" w14:textId="0BAEFC58" w:rsidR="00D26741" w:rsidRDefault="007073E5" w:rsidP="00DD23C8">
      <w:pPr>
        <w:rPr>
          <w:rFonts w:ascii="Times New Roman" w:eastAsia="Times New Roman" w:hAnsi="Times New Roman" w:cs="Times New Roman"/>
          <w:lang w:val="es-ES_tradnl"/>
        </w:rPr>
      </w:pPr>
      <w:r>
        <w:rPr>
          <w:rFonts w:ascii="Times New Roman" w:eastAsia="Times New Roman" w:hAnsi="Times New Roman" w:cs="Times New Roman"/>
          <w:lang w:val="es-ES_tradnl"/>
        </w:rPr>
        <w:t xml:space="preserve">El p-valor de la prueba de </w:t>
      </w:r>
      <w:proofErr w:type="spellStart"/>
      <w:r>
        <w:rPr>
          <w:rFonts w:ascii="Times New Roman" w:eastAsia="Times New Roman" w:hAnsi="Times New Roman" w:cs="Times New Roman"/>
          <w:lang w:val="es-ES_tradnl"/>
        </w:rPr>
        <w:t>Ljung</w:t>
      </w:r>
      <w:proofErr w:type="spellEnd"/>
      <w:r>
        <w:rPr>
          <w:rFonts w:ascii="Times New Roman" w:eastAsia="Times New Roman" w:hAnsi="Times New Roman" w:cs="Times New Roman"/>
          <w:lang w:val="es-ES_tradnl"/>
        </w:rPr>
        <w:t xml:space="preserve">-box es de 0.9, indicando la presencia de ruido blanco y confirmado el ajuste del modelo. </w:t>
      </w:r>
    </w:p>
    <w:p w14:paraId="429E0E9A" w14:textId="4E6EA76B" w:rsidR="00D26741" w:rsidRDefault="00D26741" w:rsidP="00DD23C8">
      <w:pPr>
        <w:rPr>
          <w:rFonts w:ascii="Times New Roman" w:eastAsia="Times New Roman" w:hAnsi="Times New Roman" w:cs="Times New Roman"/>
          <w:highlight w:val="yellow"/>
        </w:rPr>
      </w:pPr>
    </w:p>
    <w:p w14:paraId="061985FF" w14:textId="466647C4" w:rsidR="007F63D3" w:rsidRDefault="007F63D3" w:rsidP="00DD23C8">
      <w:pPr>
        <w:rPr>
          <w:rFonts w:ascii="Times New Roman" w:eastAsia="Times New Roman" w:hAnsi="Times New Roman" w:cs="Times New Roman"/>
          <w:highlight w:val="yellow"/>
        </w:rPr>
      </w:pPr>
    </w:p>
    <w:p w14:paraId="5CDC0996" w14:textId="415B47E1" w:rsidR="00F47BD1" w:rsidRDefault="00F47BD1" w:rsidP="00DD23C8">
      <w:pPr>
        <w:rPr>
          <w:rFonts w:ascii="Times New Roman" w:eastAsia="Times New Roman" w:hAnsi="Times New Roman" w:cs="Times New Roman"/>
          <w:highlight w:val="yellow"/>
        </w:rPr>
      </w:pPr>
    </w:p>
    <w:p w14:paraId="65E16844" w14:textId="1369D744" w:rsidR="00B272F8" w:rsidRDefault="00B272F8" w:rsidP="00DD23C8">
      <w:pPr>
        <w:rPr>
          <w:rFonts w:ascii="Times New Roman" w:eastAsia="Times New Roman" w:hAnsi="Times New Roman" w:cs="Times New Roman"/>
          <w:highlight w:val="yellow"/>
        </w:rPr>
      </w:pPr>
    </w:p>
    <w:p w14:paraId="5E740805" w14:textId="77777777" w:rsidR="00B272F8" w:rsidRDefault="00B272F8" w:rsidP="00DD23C8">
      <w:pPr>
        <w:rPr>
          <w:rFonts w:ascii="Times New Roman" w:eastAsia="Times New Roman" w:hAnsi="Times New Roman" w:cs="Times New Roman"/>
          <w:highlight w:val="yellow"/>
        </w:rPr>
      </w:pPr>
    </w:p>
    <w:p w14:paraId="491F746B" w14:textId="77777777" w:rsidR="00F47BD1" w:rsidRDefault="00F47BD1" w:rsidP="00DD23C8">
      <w:pPr>
        <w:rPr>
          <w:rFonts w:ascii="Times New Roman" w:eastAsia="Times New Roman" w:hAnsi="Times New Roman" w:cs="Times New Roman"/>
          <w:highlight w:val="yellow"/>
        </w:rPr>
      </w:pPr>
    </w:p>
    <w:p w14:paraId="0C062E22" w14:textId="24B30521" w:rsidR="00DD23C8" w:rsidRPr="00F47BD1" w:rsidRDefault="00F47BD1" w:rsidP="00DD23C8">
      <w:pPr>
        <w:rPr>
          <w:rFonts w:ascii="Times New Roman" w:eastAsia="Times New Roman" w:hAnsi="Times New Roman" w:cs="Times New Roman"/>
          <w:b/>
          <w:bCs/>
          <w:lang w:val="es-ES_tradnl"/>
        </w:rPr>
      </w:pPr>
      <w:r w:rsidRPr="00F47BD1">
        <w:rPr>
          <w:rFonts w:ascii="Times New Roman" w:eastAsia="Times New Roman" w:hAnsi="Times New Roman" w:cs="Times New Roman"/>
          <w:b/>
          <w:bCs/>
          <w:lang w:val="es-ES_tradnl"/>
        </w:rPr>
        <w:lastRenderedPageBreak/>
        <w:t>Modelo</w:t>
      </w:r>
    </w:p>
    <w:p w14:paraId="02D88BD3" w14:textId="77777777" w:rsidR="00F47BD1" w:rsidRPr="00F47BD1" w:rsidRDefault="00F47BD1" w:rsidP="00DD23C8">
      <w:pPr>
        <w:rPr>
          <w:rFonts w:ascii="Times New Roman" w:eastAsia="Times New Roman" w:hAnsi="Times New Roman" w:cs="Times New Roman"/>
          <w:lang w:val="es-ES_tradnl"/>
        </w:rPr>
      </w:pPr>
    </w:p>
    <w:p w14:paraId="17D87C47" w14:textId="15611089" w:rsidR="00627734" w:rsidRDefault="00627734" w:rsidP="00F47BD1">
      <w:pPr>
        <w:jc w:val="both"/>
        <w:rPr>
          <w:rFonts w:ascii="Times New Roman" w:eastAsia="Times New Roman" w:hAnsi="Times New Roman" w:cs="Times New Roman"/>
          <w:lang w:val="es-ES"/>
        </w:rPr>
      </w:pPr>
      <w:r w:rsidRPr="00627734">
        <w:rPr>
          <w:rFonts w:ascii="Times New Roman" w:eastAsia="Times New Roman" w:hAnsi="Times New Roman" w:cs="Times New Roman"/>
          <w:lang w:val="es-ES"/>
        </w:rPr>
        <w:t>La formulación del modelo se pl</w:t>
      </w:r>
      <w:r>
        <w:rPr>
          <w:rFonts w:ascii="Times New Roman" w:eastAsia="Times New Roman" w:hAnsi="Times New Roman" w:cs="Times New Roman"/>
          <w:lang w:val="es-ES"/>
        </w:rPr>
        <w:t xml:space="preserve">antea a partir de la evaluación de dos modelos utilizando ARIMA y un modelo utilizando la metodología </w:t>
      </w: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Se considera</w:t>
      </w:r>
      <w:r w:rsidR="00AD3A48">
        <w:rPr>
          <w:rFonts w:ascii="Times New Roman" w:eastAsia="Times New Roman" w:hAnsi="Times New Roman" w:cs="Times New Roman"/>
          <w:lang w:val="es-ES"/>
        </w:rPr>
        <w:t xml:space="preserve"> la posibilidad de evaluar a través de estos modelos, aunque se utilicen diferentes predictores, dadas las limitaciones de cada uno. Se identifica </w:t>
      </w:r>
      <w:r w:rsidR="00E06B25">
        <w:rPr>
          <w:rFonts w:ascii="Times New Roman" w:eastAsia="Times New Roman" w:hAnsi="Times New Roman" w:cs="Times New Roman"/>
          <w:lang w:val="es-ES"/>
        </w:rPr>
        <w:t xml:space="preserve">una capacidad adecuada </w:t>
      </w:r>
      <w:r w:rsidR="007F63D3">
        <w:rPr>
          <w:rFonts w:ascii="Times New Roman" w:eastAsia="Times New Roman" w:hAnsi="Times New Roman" w:cs="Times New Roman"/>
          <w:lang w:val="es-ES"/>
        </w:rPr>
        <w:t xml:space="preserve">de </w:t>
      </w:r>
      <w:r w:rsidR="00A17D17">
        <w:rPr>
          <w:rFonts w:ascii="Times New Roman" w:eastAsia="Times New Roman" w:hAnsi="Times New Roman" w:cs="Times New Roman"/>
          <w:lang w:val="es-ES"/>
        </w:rPr>
        <w:t xml:space="preserve">la </w:t>
      </w:r>
      <w:proofErr w:type="spellStart"/>
      <w:r w:rsidR="00A17D17">
        <w:rPr>
          <w:rFonts w:ascii="Times New Roman" w:eastAsia="Times New Roman" w:hAnsi="Times New Roman" w:cs="Times New Roman"/>
          <w:lang w:val="es-ES"/>
        </w:rPr>
        <w:t>autorregresión</w:t>
      </w:r>
      <w:proofErr w:type="spellEnd"/>
      <w:r w:rsidR="00A17D17">
        <w:rPr>
          <w:rFonts w:ascii="Times New Roman" w:eastAsia="Times New Roman" w:hAnsi="Times New Roman" w:cs="Times New Roman"/>
          <w:lang w:val="es-ES"/>
        </w:rPr>
        <w:t>, al igual que al utilizar la inclusiones de predictores exógenos</w:t>
      </w:r>
      <w:r w:rsidR="007F63D3">
        <w:rPr>
          <w:rFonts w:ascii="Times New Roman" w:eastAsia="Times New Roman" w:hAnsi="Times New Roman" w:cs="Times New Roman"/>
          <w:lang w:val="es-ES"/>
        </w:rPr>
        <w:t>,</w:t>
      </w:r>
      <w:r w:rsidR="00A17D17">
        <w:rPr>
          <w:rFonts w:ascii="Times New Roman" w:eastAsia="Times New Roman" w:hAnsi="Times New Roman" w:cs="Times New Roman"/>
          <w:lang w:val="es-ES"/>
        </w:rPr>
        <w:t xml:space="preserve"> sin embargo, y de acuerdo con </w:t>
      </w:r>
      <w:proofErr w:type="spellStart"/>
      <w:r w:rsidR="00A17D17">
        <w:rPr>
          <w:rFonts w:ascii="Times New Roman" w:eastAsia="Times New Roman" w:hAnsi="Times New Roman" w:cs="Times New Roman"/>
          <w:lang w:val="es-ES"/>
        </w:rPr>
        <w:t>Hyndman</w:t>
      </w:r>
      <w:proofErr w:type="spellEnd"/>
      <w:r w:rsidR="00A17D17">
        <w:rPr>
          <w:rFonts w:ascii="Times New Roman" w:eastAsia="Times New Roman" w:hAnsi="Times New Roman" w:cs="Times New Roman"/>
          <w:lang w:val="es-ES"/>
        </w:rPr>
        <w:t xml:space="preserve"> y </w:t>
      </w:r>
      <w:proofErr w:type="spellStart"/>
      <w:r w:rsidR="00A17D17">
        <w:rPr>
          <w:rFonts w:ascii="Times New Roman" w:eastAsia="Times New Roman" w:hAnsi="Times New Roman" w:cs="Times New Roman"/>
          <w:lang w:val="es-ES"/>
        </w:rPr>
        <w:t>Athanasopoulus</w:t>
      </w:r>
      <w:proofErr w:type="spellEnd"/>
      <w:r w:rsidR="00A17D17">
        <w:rPr>
          <w:rFonts w:ascii="Times New Roman" w:eastAsia="Times New Roman" w:hAnsi="Times New Roman" w:cs="Times New Roman"/>
          <w:lang w:val="es-ES"/>
        </w:rPr>
        <w:t xml:space="preserve"> (</w:t>
      </w:r>
      <w:r w:rsidR="00F47BD1">
        <w:rPr>
          <w:rFonts w:ascii="Times New Roman" w:eastAsia="Times New Roman" w:hAnsi="Times New Roman" w:cs="Times New Roman"/>
          <w:lang w:val="es-ES"/>
        </w:rPr>
        <w:t>2018</w:t>
      </w:r>
      <w:r w:rsidR="00A17D17">
        <w:rPr>
          <w:rFonts w:ascii="Times New Roman" w:eastAsia="Times New Roman" w:hAnsi="Times New Roman" w:cs="Times New Roman"/>
          <w:lang w:val="es-ES"/>
        </w:rPr>
        <w:t xml:space="preserve">), la utilización de modelos mixtos o la inclusión de predictores exógenos tiene limitaciones que se deben tener en cuenta, estas incluyen la necesidad de predecir los valores futuros de los predictores y, desde lo teórico, </w:t>
      </w:r>
      <w:r w:rsidR="00B5252E">
        <w:rPr>
          <w:rFonts w:ascii="Times New Roman" w:eastAsia="Times New Roman" w:hAnsi="Times New Roman" w:cs="Times New Roman"/>
          <w:lang w:val="es-ES"/>
        </w:rPr>
        <w:t xml:space="preserve">el modelo con predictores externos puede servir para predecir qué va a ocurrir, pero no porqué ocurre. Por el otro lado, se debe tener en cuenta igualmente las limitaciones de los modelos autorregresivos </w:t>
      </w:r>
      <w:r w:rsidR="00D1742E">
        <w:rPr>
          <w:rFonts w:ascii="Times New Roman" w:eastAsia="Times New Roman" w:hAnsi="Times New Roman" w:cs="Times New Roman"/>
          <w:lang w:val="es-ES"/>
        </w:rPr>
        <w:t>que,</w:t>
      </w:r>
      <w:r w:rsidR="00B5252E">
        <w:rPr>
          <w:rFonts w:ascii="Times New Roman" w:eastAsia="Times New Roman" w:hAnsi="Times New Roman" w:cs="Times New Roman"/>
          <w:lang w:val="es-ES"/>
        </w:rPr>
        <w:t xml:space="preserve"> si bien pueden resultar más precisos, se ha identificado en el presente trabajo que su precisión disminuye al aumentar el N futuro. </w:t>
      </w:r>
      <w:r w:rsidR="00ED7EF6">
        <w:rPr>
          <w:rFonts w:ascii="Times New Roman" w:eastAsia="Times New Roman" w:hAnsi="Times New Roman" w:cs="Times New Roman"/>
          <w:lang w:val="es-ES"/>
        </w:rPr>
        <w:t xml:space="preserve">Por tales razones, </w:t>
      </w:r>
      <w:r w:rsidR="00CF0C97">
        <w:rPr>
          <w:rFonts w:ascii="Times New Roman" w:eastAsia="Times New Roman" w:hAnsi="Times New Roman" w:cs="Times New Roman"/>
          <w:lang w:val="es-ES"/>
        </w:rPr>
        <w:t>se puede argumentar que es posible utilizar ambos modelos descritos a continuación:</w:t>
      </w:r>
    </w:p>
    <w:p w14:paraId="55DDB76D" w14:textId="35D2A9FD" w:rsidR="00CF0C97" w:rsidRDefault="00CF0C97" w:rsidP="00DD23C8">
      <w:pPr>
        <w:rPr>
          <w:rFonts w:ascii="Times New Roman" w:eastAsia="Times New Roman" w:hAnsi="Times New Roman" w:cs="Times New Roman"/>
          <w:lang w:val="es-ES"/>
        </w:rPr>
      </w:pPr>
    </w:p>
    <w:p w14:paraId="0E7F54FC" w14:textId="3C3ED7C2" w:rsidR="00CF0C97" w:rsidRPr="00A84F59" w:rsidRDefault="00CF0C97" w:rsidP="00D1742E">
      <w:pPr>
        <w:jc w:val="center"/>
        <w:rPr>
          <w:rFonts w:ascii="Times New Roman" w:eastAsia="Times New Roman" w:hAnsi="Times New Roman" w:cs="Times New Roman"/>
          <w:i/>
          <w:iCs/>
          <w:lang w:val="es-ES"/>
        </w:rPr>
      </w:pPr>
      <w:r w:rsidRPr="00A84F59">
        <w:rPr>
          <w:rFonts w:ascii="Times New Roman" w:eastAsia="Times New Roman" w:hAnsi="Times New Roman" w:cs="Times New Roman"/>
          <w:i/>
          <w:iCs/>
          <w:lang w:val="es-ES"/>
        </w:rPr>
        <w:t>ARIMA</w:t>
      </w:r>
    </w:p>
    <w:p w14:paraId="26183321" w14:textId="3373E588" w:rsidR="00B5252E" w:rsidRPr="00A84F59" w:rsidRDefault="00A84F59" w:rsidP="00DD23C8">
      <w:pPr>
        <w:rPr>
          <w:rFonts w:ascii="Times New Roman" w:eastAsia="Times New Roman" w:hAnsi="Times New Roman" w:cs="Times New Roman"/>
          <w:lang w:val="es-ES"/>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d</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d</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m:t>
                  </m:r>
                </m:sub>
              </m:sSub>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5571F10E" w14:textId="77777777" w:rsidR="00A84F59" w:rsidRPr="00A84F59" w:rsidRDefault="00A84F59" w:rsidP="00A84F59">
      <w:pPr>
        <w:rPr>
          <w:rFonts w:ascii="Times New Roman" w:eastAsiaTheme="minorEastAsia" w:hAnsi="Times New Roman" w:cs="Times New Roman"/>
        </w:rPr>
      </w:pPr>
      <m:oMathPara>
        <m:oMathParaPr>
          <m:jc m:val="left"/>
        </m:oMathParaPr>
        <m:oMath>
          <m:r>
            <w:rPr>
              <w:rFonts w:ascii="Cambria Math" w:hAnsi="Cambria Math" w:cs="Times New Roman"/>
            </w:rPr>
            <m:t>p=Estructura autoregresiva</m:t>
          </m:r>
        </m:oMath>
      </m:oMathPara>
    </w:p>
    <w:p w14:paraId="0F398F97" w14:textId="77777777" w:rsidR="00A84F59" w:rsidRPr="00A84F59" w:rsidRDefault="00A84F59" w:rsidP="00A84F59">
      <w:pPr>
        <w:rPr>
          <w:rFonts w:ascii="Times New Roman" w:eastAsiaTheme="minorEastAsia" w:hAnsi="Times New Roman" w:cs="Times New Roman"/>
        </w:rPr>
      </w:pPr>
      <m:oMathPara>
        <m:oMathParaPr>
          <m:jc m:val="left"/>
        </m:oMathParaPr>
        <m:oMath>
          <m:r>
            <w:rPr>
              <w:rFonts w:ascii="Cambria Math" w:hAnsi="Cambria Math" w:cs="Times New Roman"/>
            </w:rPr>
            <m:t>d=Diferenciación estacionaria</m:t>
          </m:r>
        </m:oMath>
      </m:oMathPara>
    </w:p>
    <w:p w14:paraId="2E463DBE" w14:textId="77777777" w:rsidR="00A84F59" w:rsidRPr="00A84F59" w:rsidRDefault="00A84F59" w:rsidP="00A84F59">
      <w:pPr>
        <w:rPr>
          <w:rFonts w:ascii="Times New Roman" w:eastAsiaTheme="minorEastAsia" w:hAnsi="Times New Roman" w:cs="Times New Roman"/>
        </w:rPr>
      </w:pPr>
      <m:oMath>
        <m:r>
          <w:rPr>
            <w:rFonts w:ascii="Cambria Math" w:hAnsi="Cambria Math" w:cs="Times New Roman"/>
          </w:rPr>
          <m:t>q=</m:t>
        </m:r>
      </m:oMath>
      <w:r w:rsidRPr="00A84F59">
        <w:rPr>
          <w:rFonts w:ascii="Times New Roman" w:eastAsiaTheme="minorEastAsia" w:hAnsi="Times New Roman" w:cs="Times New Roman"/>
        </w:rPr>
        <w:t xml:space="preserve"> </w:t>
      </w:r>
      <w:r w:rsidRPr="00A84F59">
        <w:rPr>
          <w:rFonts w:ascii="Times New Roman" w:eastAsiaTheme="minorEastAsia" w:hAnsi="Times New Roman" w:cs="Times New Roman"/>
          <w:i/>
          <w:iCs/>
        </w:rPr>
        <w:t>Media móvil</w:t>
      </w:r>
    </w:p>
    <w:p w14:paraId="4BEC516D" w14:textId="7A9D5548" w:rsidR="00D1742E" w:rsidRDefault="00D1742E" w:rsidP="00DD23C8">
      <w:pPr>
        <w:rPr>
          <w:rFonts w:ascii="Times New Roman" w:eastAsia="Times New Roman" w:hAnsi="Times New Roman" w:cs="Times New Roman"/>
          <w:lang w:val="es-ES"/>
        </w:rPr>
      </w:pPr>
    </w:p>
    <w:p w14:paraId="00DDB76D" w14:textId="47C407A6" w:rsidR="00104E9A" w:rsidRDefault="00104E9A" w:rsidP="00F47BD1">
      <w:pPr>
        <w:jc w:val="both"/>
        <w:rPr>
          <w:rFonts w:ascii="Times New Roman" w:eastAsia="Times New Roman" w:hAnsi="Times New Roman" w:cs="Times New Roman"/>
          <w:lang w:val="es-ES"/>
        </w:rPr>
      </w:pPr>
      <w:r>
        <w:rPr>
          <w:rFonts w:ascii="Times New Roman" w:eastAsia="Times New Roman" w:hAnsi="Times New Roman" w:cs="Times New Roman"/>
          <w:lang w:val="es-ES"/>
        </w:rPr>
        <w:t>En el modelo ARIMA, la intención es a través del análisis del pasado explicar los pronósticos, utilizando para ello los supuestos de estacionariedad y “ruido blanco”, que al final resultan en el manejo de la autocorrelación y la estacionalidad.</w:t>
      </w:r>
    </w:p>
    <w:p w14:paraId="2B4F9C82" w14:textId="2833F082" w:rsidR="00104E9A" w:rsidRDefault="00104E9A" w:rsidP="00F47BD1">
      <w:pPr>
        <w:jc w:val="both"/>
        <w:rPr>
          <w:rFonts w:ascii="Times New Roman" w:eastAsia="Times New Roman" w:hAnsi="Times New Roman" w:cs="Times New Roman"/>
          <w:lang w:val="es-ES"/>
        </w:rPr>
      </w:pPr>
    </w:p>
    <w:p w14:paraId="30FA2707" w14:textId="0552522A" w:rsidR="00D118AC" w:rsidRDefault="00104E9A" w:rsidP="00F47BD1">
      <w:pPr>
        <w:jc w:val="both"/>
        <w:rPr>
          <w:rFonts w:ascii="Times New Roman" w:eastAsia="Times New Roman" w:hAnsi="Times New Roman" w:cs="Times New Roman"/>
          <w:lang w:val="es-ES_tradnl"/>
        </w:rPr>
      </w:pPr>
      <w:r>
        <w:rPr>
          <w:rFonts w:ascii="Times New Roman" w:eastAsia="Times New Roman" w:hAnsi="Times New Roman" w:cs="Times New Roman"/>
          <w:lang w:val="es-ES"/>
        </w:rPr>
        <w:t xml:space="preserve">Mientras </w:t>
      </w:r>
      <w:r w:rsidRPr="007639FB">
        <w:rPr>
          <w:rFonts w:ascii="Times New Roman" w:eastAsia="Times New Roman" w:hAnsi="Times New Roman" w:cs="Times New Roman"/>
          <w:lang w:val="es-ES"/>
        </w:rPr>
        <w:t xml:space="preserve">el </w:t>
      </w:r>
      <w:r>
        <w:rPr>
          <w:rFonts w:ascii="Times New Roman" w:eastAsia="Times New Roman" w:hAnsi="Times New Roman" w:cs="Times New Roman"/>
          <w:lang w:val="es-ES"/>
        </w:rPr>
        <w:t xml:space="preserve">modelo </w:t>
      </w: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xml:space="preserve">, </w:t>
      </w:r>
      <w:r>
        <w:rPr>
          <w:rFonts w:ascii="Times New Roman" w:eastAsia="Times New Roman" w:hAnsi="Times New Roman" w:cs="Times New Roman"/>
          <w:lang w:val="es-ES"/>
        </w:rPr>
        <w:t>es</w:t>
      </w:r>
      <w:r>
        <w:rPr>
          <w:rFonts w:ascii="Times New Roman" w:eastAsia="Times New Roman" w:hAnsi="Times New Roman" w:cs="Times New Roman"/>
          <w:lang w:val="es-ES"/>
        </w:rPr>
        <w:t xml:space="preserve"> un ejercicio de ajuste</w:t>
      </w:r>
      <w:r>
        <w:rPr>
          <w:rFonts w:ascii="Times New Roman" w:eastAsia="Times New Roman" w:hAnsi="Times New Roman" w:cs="Times New Roman"/>
          <w:lang w:val="es-ES"/>
        </w:rPr>
        <w:t xml:space="preserve"> en el tiempo</w:t>
      </w:r>
      <w:r>
        <w:rPr>
          <w:rFonts w:ascii="Times New Roman" w:eastAsia="Times New Roman" w:hAnsi="Times New Roman" w:cs="Times New Roman"/>
          <w:lang w:val="es-ES"/>
        </w:rPr>
        <w:t xml:space="preserve"> más que una vista explicita a la dependencia temporal</w:t>
      </w:r>
      <w:r>
        <w:rPr>
          <w:rFonts w:ascii="Times New Roman" w:eastAsia="Times New Roman" w:hAnsi="Times New Roman" w:cs="Times New Roman"/>
          <w:lang w:val="es-ES"/>
        </w:rPr>
        <w:t xml:space="preserve"> de los datos pasados:</w:t>
      </w:r>
    </w:p>
    <w:p w14:paraId="14284C20" w14:textId="77777777" w:rsidR="00104E9A" w:rsidRPr="00A84F59" w:rsidRDefault="00104E9A" w:rsidP="0032159D">
      <w:pPr>
        <w:jc w:val="center"/>
        <w:rPr>
          <w:rFonts w:ascii="Times New Roman" w:eastAsia="Times New Roman" w:hAnsi="Times New Roman" w:cs="Times New Roman"/>
          <w:lang w:val="es-ES_tradnl"/>
        </w:rPr>
      </w:pPr>
    </w:p>
    <w:p w14:paraId="00FA37B1" w14:textId="0DB98452" w:rsidR="0032159D" w:rsidRPr="00A84F59" w:rsidRDefault="0032159D" w:rsidP="0032159D">
      <w:pPr>
        <w:jc w:val="center"/>
        <w:rPr>
          <w:rFonts w:ascii="Times New Roman" w:eastAsia="Times New Roman" w:hAnsi="Times New Roman" w:cs="Times New Roman"/>
          <w:lang w:val="es-ES_tradnl"/>
        </w:rPr>
      </w:pPr>
      <m:oMathPara>
        <m:oMath>
          <m:r>
            <w:rPr>
              <w:rFonts w:ascii="Cambria Math" w:eastAsia="Times New Roman" w:hAnsi="Cambria Math" w:cs="Times New Roman"/>
              <w:lang w:val="es-ES_tradnl"/>
            </w:rPr>
            <m:t>y(t) = g(t) + s(t) + h(t) + e(t)</m:t>
          </m:r>
        </m:oMath>
      </m:oMathPara>
    </w:p>
    <w:p w14:paraId="505E4595" w14:textId="2115F9F5" w:rsidR="0032159D" w:rsidRPr="00A84F59" w:rsidRDefault="0032159D" w:rsidP="0032159D">
      <w:pPr>
        <w:jc w:val="center"/>
        <w:rPr>
          <w:rFonts w:ascii="Times New Roman" w:eastAsia="Times New Roman" w:hAnsi="Times New Roman" w:cs="Times New Roman"/>
          <w:lang w:val="es-ES_tradnl"/>
        </w:rPr>
      </w:pPr>
    </w:p>
    <w:p w14:paraId="4B996776" w14:textId="1A14468B" w:rsidR="0032159D" w:rsidRPr="00A84F59" w:rsidRDefault="0032159D" w:rsidP="007639FB">
      <w:pPr>
        <w:rPr>
          <w:rFonts w:ascii="Cambria" w:eastAsia="Times New Roman" w:hAnsi="Cambria" w:cs="Times New Roman"/>
          <w:i/>
          <w:iCs/>
          <w:lang w:val="es-ES"/>
        </w:rPr>
      </w:pPr>
      <w:r w:rsidRPr="00A84F59">
        <w:rPr>
          <w:rFonts w:ascii="Cambria" w:eastAsia="Times New Roman" w:hAnsi="Cambria" w:cs="Times New Roman"/>
          <w:i/>
          <w:iCs/>
          <w:lang w:val="es-ES"/>
        </w:rPr>
        <w:t>g(t)</w:t>
      </w:r>
      <w:r w:rsidRPr="00A84F59">
        <w:rPr>
          <w:rFonts w:ascii="Cambria" w:eastAsia="Times New Roman" w:hAnsi="Cambria" w:cs="Times New Roman"/>
          <w:i/>
          <w:iCs/>
          <w:lang w:val="es-ES"/>
        </w:rPr>
        <w:t xml:space="preserve">: </w:t>
      </w:r>
      <w:r w:rsidR="00A84F59">
        <w:rPr>
          <w:rFonts w:ascii="Cambria" w:eastAsia="Times New Roman" w:hAnsi="Cambria" w:cs="Times New Roman"/>
          <w:i/>
          <w:iCs/>
          <w:lang w:val="es-ES"/>
        </w:rPr>
        <w:t>C</w:t>
      </w:r>
      <w:r w:rsidRPr="00A84F59">
        <w:rPr>
          <w:rFonts w:ascii="Cambria" w:eastAsia="Times New Roman" w:hAnsi="Cambria" w:cs="Times New Roman"/>
          <w:i/>
          <w:iCs/>
          <w:lang w:val="es-ES"/>
        </w:rPr>
        <w:t>ambios no-periódicos</w:t>
      </w:r>
      <w:r w:rsidRPr="00A84F59">
        <w:rPr>
          <w:rFonts w:ascii="Cambria" w:eastAsia="Times New Roman" w:hAnsi="Cambria" w:cs="Times New Roman"/>
          <w:i/>
          <w:iCs/>
          <w:lang w:val="es-ES"/>
        </w:rPr>
        <w:t xml:space="preserve"> (i.e. </w:t>
      </w:r>
      <w:r w:rsidRPr="00A84F59">
        <w:rPr>
          <w:rFonts w:ascii="Cambria" w:eastAsia="Times New Roman" w:hAnsi="Cambria" w:cs="Times New Roman"/>
          <w:i/>
          <w:iCs/>
          <w:lang w:val="es-ES"/>
        </w:rPr>
        <w:t>crecimiento en el tiempo</w:t>
      </w:r>
      <w:r w:rsidRPr="00A84F59">
        <w:rPr>
          <w:rFonts w:ascii="Cambria" w:eastAsia="Times New Roman" w:hAnsi="Cambria" w:cs="Times New Roman"/>
          <w:i/>
          <w:iCs/>
          <w:lang w:val="es-ES"/>
        </w:rPr>
        <w:t>)</w:t>
      </w:r>
    </w:p>
    <w:p w14:paraId="759E1962" w14:textId="1E3969A7" w:rsidR="0032159D" w:rsidRPr="00A84F59" w:rsidRDefault="0032159D" w:rsidP="007639FB">
      <w:pPr>
        <w:rPr>
          <w:rFonts w:ascii="Cambria" w:eastAsia="Times New Roman" w:hAnsi="Cambria" w:cs="Times New Roman"/>
          <w:i/>
          <w:iCs/>
          <w:lang w:val="es-ES"/>
        </w:rPr>
      </w:pPr>
      <w:r w:rsidRPr="00A84F59">
        <w:rPr>
          <w:rFonts w:ascii="Cambria" w:eastAsia="Times New Roman" w:hAnsi="Cambria" w:cs="Times New Roman"/>
          <w:i/>
          <w:iCs/>
          <w:lang w:val="es-ES"/>
        </w:rPr>
        <w:t>s(t)</w:t>
      </w:r>
      <w:r w:rsidRPr="00A84F59">
        <w:rPr>
          <w:rFonts w:ascii="Cambria" w:eastAsia="Times New Roman" w:hAnsi="Cambria" w:cs="Times New Roman"/>
          <w:i/>
          <w:iCs/>
          <w:lang w:val="es-ES"/>
        </w:rPr>
        <w:t xml:space="preserve">: </w:t>
      </w:r>
      <w:r w:rsidR="00A84F59">
        <w:rPr>
          <w:rFonts w:ascii="Cambria" w:eastAsia="Times New Roman" w:hAnsi="Cambria" w:cs="Times New Roman"/>
          <w:i/>
          <w:iCs/>
          <w:lang w:val="es-ES"/>
        </w:rPr>
        <w:t>C</w:t>
      </w:r>
      <w:r w:rsidRPr="00A84F59">
        <w:rPr>
          <w:rFonts w:ascii="Cambria" w:eastAsia="Times New Roman" w:hAnsi="Cambria" w:cs="Times New Roman"/>
          <w:i/>
          <w:iCs/>
          <w:lang w:val="es-ES"/>
        </w:rPr>
        <w:t>ambios periódicos</w:t>
      </w:r>
      <w:r w:rsidRPr="00A84F59">
        <w:rPr>
          <w:rFonts w:ascii="Cambria" w:eastAsia="Times New Roman" w:hAnsi="Cambria" w:cs="Times New Roman"/>
          <w:i/>
          <w:iCs/>
          <w:lang w:val="es-ES"/>
        </w:rPr>
        <w:t xml:space="preserve"> (i.e. </w:t>
      </w:r>
      <w:r w:rsidRPr="00A84F59">
        <w:rPr>
          <w:rFonts w:ascii="Cambria" w:eastAsia="Times New Roman" w:hAnsi="Cambria" w:cs="Times New Roman"/>
          <w:i/>
          <w:iCs/>
          <w:lang w:val="es-ES"/>
        </w:rPr>
        <w:t>estacionalidad</w:t>
      </w:r>
      <w:r w:rsidRPr="00A84F59">
        <w:rPr>
          <w:rFonts w:ascii="Cambria" w:eastAsia="Times New Roman" w:hAnsi="Cambria" w:cs="Times New Roman"/>
          <w:i/>
          <w:iCs/>
          <w:lang w:val="es-ES"/>
        </w:rPr>
        <w:t>)</w:t>
      </w:r>
    </w:p>
    <w:p w14:paraId="49FB96E0" w14:textId="0ABB4969" w:rsidR="0032159D" w:rsidRPr="00A84F59" w:rsidRDefault="0032159D" w:rsidP="007639FB">
      <w:pPr>
        <w:rPr>
          <w:rFonts w:ascii="Cambria" w:eastAsia="Times New Roman" w:hAnsi="Cambria" w:cs="Times New Roman"/>
          <w:i/>
          <w:iCs/>
          <w:lang w:val="es-ES"/>
        </w:rPr>
      </w:pPr>
      <w:r w:rsidRPr="00A84F59">
        <w:rPr>
          <w:rFonts w:ascii="Cambria" w:eastAsia="Times New Roman" w:hAnsi="Cambria" w:cs="Times New Roman"/>
          <w:i/>
          <w:iCs/>
          <w:lang w:val="es-ES"/>
        </w:rPr>
        <w:t>h(t)</w:t>
      </w:r>
      <w:r w:rsidRPr="00A84F59">
        <w:rPr>
          <w:rFonts w:ascii="Cambria" w:eastAsia="Times New Roman" w:hAnsi="Cambria" w:cs="Times New Roman"/>
          <w:i/>
          <w:iCs/>
          <w:lang w:val="es-ES"/>
        </w:rPr>
        <w:t xml:space="preserve">: </w:t>
      </w:r>
      <w:r w:rsidR="00A84F59">
        <w:rPr>
          <w:rFonts w:ascii="Cambria" w:eastAsia="Times New Roman" w:hAnsi="Cambria" w:cs="Times New Roman"/>
          <w:i/>
          <w:iCs/>
          <w:lang w:val="es-ES"/>
        </w:rPr>
        <w:t>A</w:t>
      </w:r>
      <w:r w:rsidRPr="00A84F59">
        <w:rPr>
          <w:rFonts w:ascii="Cambria" w:eastAsia="Times New Roman" w:hAnsi="Cambria" w:cs="Times New Roman"/>
          <w:i/>
          <w:iCs/>
          <w:lang w:val="es-ES"/>
        </w:rPr>
        <w:t>juste de efectos de festivos</w:t>
      </w:r>
      <w:r w:rsidRPr="00A84F59">
        <w:rPr>
          <w:rFonts w:ascii="Cambria" w:eastAsia="Times New Roman" w:hAnsi="Cambria" w:cs="Times New Roman"/>
          <w:i/>
          <w:iCs/>
          <w:lang w:val="es-ES"/>
        </w:rPr>
        <w:t xml:space="preserve"> (</w:t>
      </w:r>
      <w:r w:rsidRPr="00A84F59">
        <w:rPr>
          <w:rFonts w:ascii="Cambria" w:eastAsia="Times New Roman" w:hAnsi="Cambria" w:cs="Times New Roman"/>
          <w:i/>
          <w:iCs/>
          <w:lang w:val="es-ES"/>
        </w:rPr>
        <w:t>posibles calendarios irregulares</w:t>
      </w:r>
      <w:r w:rsidRPr="00A84F59">
        <w:rPr>
          <w:rFonts w:ascii="Cambria" w:eastAsia="Times New Roman" w:hAnsi="Cambria" w:cs="Times New Roman"/>
          <w:i/>
          <w:iCs/>
          <w:lang w:val="es-ES"/>
        </w:rPr>
        <w:t xml:space="preserve"> ≥ 1 d</w:t>
      </w:r>
      <w:r w:rsidRPr="00A84F59">
        <w:rPr>
          <w:rFonts w:ascii="Cambria" w:eastAsia="Times New Roman" w:hAnsi="Cambria" w:cs="Times New Roman"/>
          <w:i/>
          <w:iCs/>
          <w:lang w:val="es-ES"/>
        </w:rPr>
        <w:t>ía</w:t>
      </w:r>
      <w:r w:rsidRPr="00A84F59">
        <w:rPr>
          <w:rFonts w:ascii="Cambria" w:eastAsia="Times New Roman" w:hAnsi="Cambria" w:cs="Times New Roman"/>
          <w:i/>
          <w:iCs/>
          <w:lang w:val="es-ES"/>
        </w:rPr>
        <w:t>(s))</w:t>
      </w:r>
    </w:p>
    <w:p w14:paraId="6323005F" w14:textId="590C0517" w:rsidR="0032159D" w:rsidRPr="00A84F59" w:rsidRDefault="0032159D" w:rsidP="007639FB">
      <w:pPr>
        <w:rPr>
          <w:rFonts w:ascii="Cambria" w:eastAsia="Times New Roman" w:hAnsi="Cambria" w:cs="Times New Roman"/>
          <w:i/>
          <w:iCs/>
          <w:lang w:val="es-ES"/>
        </w:rPr>
      </w:pPr>
      <w:proofErr w:type="spellStart"/>
      <w:r w:rsidRPr="00A84F59">
        <w:rPr>
          <w:rFonts w:ascii="Cambria" w:eastAsia="Times New Roman" w:hAnsi="Cambria" w:cs="Times New Roman"/>
          <w:i/>
          <w:iCs/>
          <w:lang w:val="es-ES"/>
        </w:rPr>
        <w:t>e</w:t>
      </w:r>
      <w:proofErr w:type="spellEnd"/>
      <w:r w:rsidRPr="00A84F59">
        <w:rPr>
          <w:rFonts w:ascii="Cambria" w:eastAsia="Times New Roman" w:hAnsi="Cambria" w:cs="Times New Roman"/>
          <w:i/>
          <w:iCs/>
          <w:lang w:val="es-ES"/>
        </w:rPr>
        <w:t>(t)</w:t>
      </w:r>
      <w:r w:rsidR="007639FB" w:rsidRPr="00A84F59">
        <w:rPr>
          <w:rFonts w:ascii="Cambria" w:eastAsia="Times New Roman" w:hAnsi="Cambria" w:cs="Times New Roman"/>
          <w:i/>
          <w:iCs/>
          <w:lang w:val="es-ES"/>
        </w:rPr>
        <w:t xml:space="preserve">: </w:t>
      </w:r>
      <w:r w:rsidR="00A84F59">
        <w:rPr>
          <w:rFonts w:ascii="Cambria" w:eastAsia="Times New Roman" w:hAnsi="Cambria" w:cs="Times New Roman"/>
          <w:i/>
          <w:iCs/>
          <w:lang w:val="es-ES"/>
        </w:rPr>
        <w:t>C</w:t>
      </w:r>
      <w:r w:rsidR="007639FB" w:rsidRPr="00A84F59">
        <w:rPr>
          <w:rFonts w:ascii="Cambria" w:eastAsia="Times New Roman" w:hAnsi="Cambria" w:cs="Times New Roman"/>
          <w:i/>
          <w:iCs/>
          <w:lang w:val="es-ES"/>
        </w:rPr>
        <w:t>ambios idiosincráticos no considerados por el modelo</w:t>
      </w:r>
    </w:p>
    <w:p w14:paraId="05D5FB2C" w14:textId="3ED42E39" w:rsidR="0032159D" w:rsidRPr="00A84F59" w:rsidRDefault="0032159D" w:rsidP="0032159D">
      <w:pPr>
        <w:jc w:val="center"/>
        <w:rPr>
          <w:rFonts w:ascii="Cambria" w:eastAsia="Times New Roman" w:hAnsi="Cambria" w:cs="Times New Roman"/>
          <w:lang w:val="es-ES"/>
        </w:rPr>
      </w:pPr>
    </w:p>
    <w:p w14:paraId="52993DF2" w14:textId="757A55B8" w:rsidR="00104E9A" w:rsidRDefault="007639FB" w:rsidP="00F47BD1">
      <w:pPr>
        <w:jc w:val="both"/>
        <w:rPr>
          <w:rFonts w:ascii="Times New Roman" w:eastAsia="Times New Roman" w:hAnsi="Times New Roman" w:cs="Times New Roman"/>
          <w:lang w:val="es-ES"/>
        </w:rPr>
      </w:pPr>
      <w:r w:rsidRPr="007639FB">
        <w:rPr>
          <w:rFonts w:ascii="Times New Roman" w:eastAsia="Times New Roman" w:hAnsi="Times New Roman" w:cs="Times New Roman"/>
          <w:lang w:val="es-ES"/>
        </w:rPr>
        <w:t xml:space="preserve">Aunque ambos son modelos </w:t>
      </w:r>
      <w:proofErr w:type="spellStart"/>
      <w:r w:rsidRPr="007639FB">
        <w:rPr>
          <w:rFonts w:ascii="Times New Roman" w:eastAsia="Times New Roman" w:hAnsi="Times New Roman" w:cs="Times New Roman"/>
          <w:lang w:val="es-ES"/>
        </w:rPr>
        <w:t>univariados</w:t>
      </w:r>
      <w:proofErr w:type="spellEnd"/>
      <w:r w:rsidRPr="007639FB">
        <w:rPr>
          <w:rFonts w:ascii="Times New Roman" w:eastAsia="Times New Roman" w:hAnsi="Times New Roman" w:cs="Times New Roman"/>
          <w:lang w:val="es-ES"/>
        </w:rPr>
        <w:t xml:space="preserve">, </w:t>
      </w:r>
      <w:proofErr w:type="spellStart"/>
      <w:r w:rsidR="00104E9A">
        <w:rPr>
          <w:rFonts w:ascii="Times New Roman" w:eastAsia="Times New Roman" w:hAnsi="Times New Roman" w:cs="Times New Roman"/>
          <w:lang w:val="es-ES"/>
        </w:rPr>
        <w:t>Prophet</w:t>
      </w:r>
      <w:proofErr w:type="spellEnd"/>
      <w:r w:rsidR="00104E9A">
        <w:rPr>
          <w:rFonts w:ascii="Times New Roman" w:eastAsia="Times New Roman" w:hAnsi="Times New Roman" w:cs="Times New Roman"/>
          <w:lang w:val="es-ES"/>
        </w:rPr>
        <w:t xml:space="preserve"> </w:t>
      </w:r>
      <w:r>
        <w:rPr>
          <w:rFonts w:ascii="Times New Roman" w:eastAsia="Times New Roman" w:hAnsi="Times New Roman" w:cs="Times New Roman"/>
          <w:lang w:val="es-ES"/>
        </w:rPr>
        <w:t>permite la inclusión de regresores que ajustan</w:t>
      </w:r>
      <w:r w:rsidR="00A84F59">
        <w:rPr>
          <w:rFonts w:ascii="Times New Roman" w:eastAsia="Times New Roman" w:hAnsi="Times New Roman" w:cs="Times New Roman"/>
          <w:lang w:val="es-ES"/>
        </w:rPr>
        <w:t xml:space="preserve"> a la explicación y pronóstico de </w:t>
      </w:r>
      <w:proofErr w:type="gramStart"/>
      <w:r w:rsidR="00A84F59">
        <w:rPr>
          <w:rFonts w:ascii="Times New Roman" w:eastAsia="Times New Roman" w:hAnsi="Times New Roman" w:cs="Times New Roman"/>
          <w:lang w:val="es-ES"/>
        </w:rPr>
        <w:t>la variables dependiente</w:t>
      </w:r>
      <w:r w:rsidR="00104E9A">
        <w:rPr>
          <w:rFonts w:ascii="Times New Roman" w:eastAsia="Times New Roman" w:hAnsi="Times New Roman" w:cs="Times New Roman"/>
          <w:lang w:val="es-ES"/>
        </w:rPr>
        <w:t>s</w:t>
      </w:r>
      <w:proofErr w:type="gramEnd"/>
      <w:r w:rsidR="00A84F59">
        <w:rPr>
          <w:rFonts w:ascii="Times New Roman" w:eastAsia="Times New Roman" w:hAnsi="Times New Roman" w:cs="Times New Roman"/>
          <w:lang w:val="es-ES"/>
        </w:rPr>
        <w:t>, es decir, permite tomar efectos no considerados e instrumentalizarlos a través de estos regresores. Para el modelo en cuestión, se utilizan las</w:t>
      </w:r>
      <w:r w:rsidR="00104E9A">
        <w:rPr>
          <w:rFonts w:ascii="Times New Roman" w:eastAsia="Times New Roman" w:hAnsi="Times New Roman" w:cs="Times New Roman"/>
          <w:lang w:val="es-ES"/>
        </w:rPr>
        <w:t xml:space="preserve"> siguientes</w:t>
      </w:r>
      <w:r w:rsidR="00A84F59">
        <w:rPr>
          <w:rFonts w:ascii="Times New Roman" w:eastAsia="Times New Roman" w:hAnsi="Times New Roman" w:cs="Times New Roman"/>
          <w:lang w:val="es-ES"/>
        </w:rPr>
        <w:t xml:space="preserve"> variables</w:t>
      </w:r>
      <w:r w:rsidR="00104E9A">
        <w:rPr>
          <w:rFonts w:ascii="Times New Roman" w:eastAsia="Times New Roman" w:hAnsi="Times New Roman" w:cs="Times New Roman"/>
          <w:lang w:val="es-ES"/>
        </w:rPr>
        <w:t>:</w:t>
      </w:r>
    </w:p>
    <w:p w14:paraId="1BA36F43" w14:textId="38FEC0E4" w:rsidR="00104E9A" w:rsidRPr="00104E9A" w:rsidRDefault="00104E9A" w:rsidP="00104E9A">
      <w:pPr>
        <w:pStyle w:val="ListParagraph"/>
        <w:numPr>
          <w:ilvl w:val="0"/>
          <w:numId w:val="2"/>
        </w:numPr>
        <w:rPr>
          <w:rFonts w:ascii="Times New Roman" w:eastAsia="Times New Roman" w:hAnsi="Times New Roman" w:cs="Times New Roman"/>
          <w:i/>
          <w:iCs/>
          <w:lang w:val="es-ES_tradnl"/>
        </w:rPr>
      </w:pPr>
      <w:r w:rsidRPr="00104E9A">
        <w:rPr>
          <w:rFonts w:ascii="Times New Roman" w:eastAsia="Times New Roman" w:hAnsi="Times New Roman" w:cs="Times New Roman"/>
          <w:i/>
          <w:iCs/>
          <w:lang w:val="es-ES_tradnl"/>
        </w:rPr>
        <w:t>G</w:t>
      </w:r>
      <w:r w:rsidRPr="00104E9A">
        <w:rPr>
          <w:rFonts w:ascii="Times New Roman" w:eastAsia="Times New Roman" w:hAnsi="Times New Roman" w:cs="Times New Roman"/>
          <w:i/>
          <w:iCs/>
          <w:lang w:val="es-ES_tradnl"/>
        </w:rPr>
        <w:t xml:space="preserve">eneración térmica, </w:t>
      </w:r>
    </w:p>
    <w:p w14:paraId="01FDF9DE" w14:textId="53875C74" w:rsidR="00104E9A" w:rsidRPr="00104E9A" w:rsidRDefault="00104E9A" w:rsidP="00104E9A">
      <w:pPr>
        <w:pStyle w:val="ListParagraph"/>
        <w:numPr>
          <w:ilvl w:val="0"/>
          <w:numId w:val="2"/>
        </w:numPr>
        <w:rPr>
          <w:rFonts w:ascii="Times New Roman" w:eastAsia="Times New Roman" w:hAnsi="Times New Roman" w:cs="Times New Roman"/>
          <w:i/>
          <w:iCs/>
          <w:lang w:val="es-ES_tradnl"/>
        </w:rPr>
      </w:pPr>
      <w:r w:rsidRPr="00104E9A">
        <w:rPr>
          <w:rFonts w:ascii="Times New Roman" w:eastAsia="Times New Roman" w:hAnsi="Times New Roman" w:cs="Times New Roman"/>
          <w:i/>
          <w:iCs/>
          <w:lang w:val="es-ES_tradnl"/>
        </w:rPr>
        <w:t xml:space="preserve">ENSO (indicador diferenciador del fenómeno climático de la Niña, el Niño, y condiciones de neutralidad), </w:t>
      </w:r>
    </w:p>
    <w:p w14:paraId="6CFE13A6" w14:textId="3F435352" w:rsidR="007639FB" w:rsidRPr="00104E9A" w:rsidRDefault="00104E9A" w:rsidP="00104E9A">
      <w:pPr>
        <w:pStyle w:val="ListParagraph"/>
        <w:numPr>
          <w:ilvl w:val="0"/>
          <w:numId w:val="2"/>
        </w:numPr>
        <w:rPr>
          <w:rFonts w:ascii="Times New Roman" w:eastAsia="Times New Roman" w:hAnsi="Times New Roman" w:cs="Times New Roman"/>
          <w:lang w:val="es-ES"/>
        </w:rPr>
      </w:pPr>
      <w:r w:rsidRPr="00104E9A">
        <w:rPr>
          <w:rFonts w:ascii="Times New Roman" w:eastAsia="Times New Roman" w:hAnsi="Times New Roman" w:cs="Times New Roman"/>
          <w:i/>
          <w:iCs/>
          <w:lang w:val="es-ES_tradnl"/>
        </w:rPr>
        <w:t>P</w:t>
      </w:r>
      <w:r w:rsidRPr="00104E9A">
        <w:rPr>
          <w:rFonts w:ascii="Times New Roman" w:eastAsia="Times New Roman" w:hAnsi="Times New Roman" w:cs="Times New Roman"/>
          <w:i/>
          <w:iCs/>
          <w:lang w:val="es-ES_tradnl"/>
        </w:rPr>
        <w:t xml:space="preserve">recio </w:t>
      </w:r>
      <w:proofErr w:type="spellStart"/>
      <w:r w:rsidRPr="00104E9A">
        <w:rPr>
          <w:rFonts w:ascii="Times New Roman" w:eastAsia="Times New Roman" w:hAnsi="Times New Roman" w:cs="Times New Roman"/>
          <w:i/>
          <w:iCs/>
          <w:lang w:val="es-ES_tradnl"/>
        </w:rPr>
        <w:t>Herny</w:t>
      </w:r>
      <w:proofErr w:type="spellEnd"/>
      <w:r w:rsidRPr="00104E9A">
        <w:rPr>
          <w:rFonts w:ascii="Times New Roman" w:eastAsia="Times New Roman" w:hAnsi="Times New Roman" w:cs="Times New Roman"/>
          <w:i/>
          <w:iCs/>
          <w:lang w:val="es-ES_tradnl"/>
        </w:rPr>
        <w:t>-</w:t>
      </w:r>
      <w:proofErr w:type="gramStart"/>
      <w:r w:rsidRPr="00104E9A">
        <w:rPr>
          <w:rFonts w:ascii="Times New Roman" w:eastAsia="Times New Roman" w:hAnsi="Times New Roman" w:cs="Times New Roman"/>
          <w:i/>
          <w:iCs/>
          <w:lang w:val="es-ES_tradnl"/>
        </w:rPr>
        <w:t>Hub</w:t>
      </w:r>
      <w:proofErr w:type="gramEnd"/>
      <w:r w:rsidRPr="00104E9A">
        <w:rPr>
          <w:rFonts w:ascii="Times New Roman" w:eastAsia="Times New Roman" w:hAnsi="Times New Roman" w:cs="Times New Roman"/>
          <w:i/>
          <w:iCs/>
          <w:lang w:val="es-ES_tradnl"/>
        </w:rPr>
        <w:t xml:space="preserve"> (precio internacional del gas natural). </w:t>
      </w:r>
      <w:r w:rsidRPr="00104E9A">
        <w:rPr>
          <w:rFonts w:ascii="Times New Roman" w:eastAsia="Times New Roman" w:hAnsi="Times New Roman" w:cs="Times New Roman"/>
          <w:lang w:val="es-ES_tradnl"/>
        </w:rPr>
        <w:t xml:space="preserve"> </w:t>
      </w:r>
    </w:p>
    <w:p w14:paraId="745D6AB9" w14:textId="3280F694" w:rsidR="007639FB" w:rsidRDefault="007639FB" w:rsidP="0032159D">
      <w:pPr>
        <w:jc w:val="center"/>
        <w:rPr>
          <w:rFonts w:ascii="Times New Roman" w:eastAsia="Times New Roman" w:hAnsi="Times New Roman" w:cs="Times New Roman"/>
          <w:lang w:val="es-ES"/>
        </w:rPr>
      </w:pPr>
    </w:p>
    <w:p w14:paraId="188061C9" w14:textId="0BEC55F5" w:rsidR="00104E9A" w:rsidRDefault="007073E5" w:rsidP="007073E5">
      <w:pPr>
        <w:jc w:val="both"/>
        <w:rPr>
          <w:rFonts w:ascii="Times New Roman" w:eastAsia="Times New Roman" w:hAnsi="Times New Roman" w:cs="Times New Roman"/>
          <w:lang w:val="es-ES"/>
        </w:rPr>
      </w:pPr>
      <w:r>
        <w:rPr>
          <w:rFonts w:ascii="Times New Roman" w:eastAsia="Times New Roman" w:hAnsi="Times New Roman" w:cs="Times New Roman"/>
          <w:lang w:val="es-ES"/>
        </w:rPr>
        <w:lastRenderedPageBreak/>
        <w:t xml:space="preserve">Entendiendo la necesidad de proyectar los valores futuros de los regresores utilizados para la metodología </w:t>
      </w: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los datos fueron tratados usando una función de tendencia lineal en Excel</w:t>
      </w:r>
      <w:r w:rsidR="00B0428E">
        <w:rPr>
          <w:rFonts w:ascii="Times New Roman" w:eastAsia="Times New Roman" w:hAnsi="Times New Roman" w:cs="Times New Roman"/>
          <w:lang w:val="es-ES"/>
        </w:rPr>
        <w:t xml:space="preserve">. </w:t>
      </w:r>
    </w:p>
    <w:p w14:paraId="3B45AA26" w14:textId="24648A20" w:rsidR="00104E9A" w:rsidRDefault="00104E9A" w:rsidP="0032159D">
      <w:pPr>
        <w:jc w:val="center"/>
        <w:rPr>
          <w:rFonts w:ascii="Times New Roman" w:eastAsia="Times New Roman" w:hAnsi="Times New Roman" w:cs="Times New Roman"/>
          <w:lang w:val="es-ES"/>
        </w:rPr>
      </w:pPr>
    </w:p>
    <w:p w14:paraId="4013AD17" w14:textId="4DE41F6D" w:rsidR="00B272F8" w:rsidRDefault="00B272F8" w:rsidP="0032159D">
      <w:pPr>
        <w:jc w:val="center"/>
        <w:rPr>
          <w:rFonts w:ascii="Times New Roman" w:eastAsia="Times New Roman" w:hAnsi="Times New Roman" w:cs="Times New Roman"/>
          <w:lang w:val="es-ES"/>
        </w:rPr>
      </w:pPr>
    </w:p>
    <w:p w14:paraId="43966ACB" w14:textId="77777777" w:rsidR="00B272F8" w:rsidRPr="00A84F59" w:rsidRDefault="00B272F8" w:rsidP="0032159D">
      <w:pPr>
        <w:jc w:val="center"/>
        <w:rPr>
          <w:rFonts w:ascii="Times New Roman" w:eastAsia="Times New Roman" w:hAnsi="Times New Roman" w:cs="Times New Roman"/>
          <w:lang w:val="es-ES"/>
        </w:rPr>
      </w:pPr>
    </w:p>
    <w:p w14:paraId="537D2EDD" w14:textId="65A6FCF6" w:rsidR="00DD23C8" w:rsidRPr="00F47BD1" w:rsidRDefault="00F47BD1" w:rsidP="00DD23C8">
      <w:pPr>
        <w:rPr>
          <w:rFonts w:ascii="Times New Roman" w:eastAsia="Times New Roman" w:hAnsi="Times New Roman" w:cs="Times New Roman"/>
          <w:b/>
          <w:bCs/>
          <w:lang w:val="es-ES_tradnl"/>
        </w:rPr>
      </w:pPr>
      <w:r w:rsidRPr="00F47BD1">
        <w:rPr>
          <w:rFonts w:ascii="Times New Roman" w:eastAsia="Times New Roman" w:hAnsi="Times New Roman" w:cs="Times New Roman"/>
          <w:b/>
          <w:bCs/>
          <w:lang w:val="es-ES_tradnl"/>
        </w:rPr>
        <w:t>Resultados</w:t>
      </w:r>
    </w:p>
    <w:p w14:paraId="01F92116" w14:textId="77777777" w:rsidR="00F47BD1" w:rsidRPr="00F47BD1" w:rsidRDefault="00F47BD1" w:rsidP="00DD23C8">
      <w:pPr>
        <w:rPr>
          <w:rFonts w:ascii="Times New Roman" w:eastAsia="Times New Roman" w:hAnsi="Times New Roman" w:cs="Times New Roman"/>
          <w:lang w:val="es-ES_tradnl"/>
        </w:rPr>
      </w:pPr>
    </w:p>
    <w:p w14:paraId="7BF408F5" w14:textId="59DA6736" w:rsidR="00060AEC" w:rsidRDefault="00060AEC" w:rsidP="00DD23C8">
      <w:pPr>
        <w:rPr>
          <w:rFonts w:ascii="Times New Roman" w:eastAsia="Times New Roman" w:hAnsi="Times New Roman" w:cs="Times New Roman"/>
          <w:lang w:val="es-ES"/>
        </w:rPr>
      </w:pPr>
      <w:r>
        <w:rPr>
          <w:rFonts w:ascii="Times New Roman" w:eastAsia="Times New Roman" w:hAnsi="Times New Roman" w:cs="Times New Roman"/>
          <w:lang w:val="es-ES"/>
        </w:rPr>
        <w:t>Los modelos arrojaron los siguientes resultados</w:t>
      </w:r>
      <w:r w:rsidR="00F47BD1">
        <w:rPr>
          <w:rFonts w:ascii="Times New Roman" w:eastAsia="Times New Roman" w:hAnsi="Times New Roman" w:cs="Times New Roman"/>
          <w:lang w:val="es-ES"/>
        </w:rPr>
        <w:t xml:space="preserve"> observados</w:t>
      </w:r>
      <w:r>
        <w:rPr>
          <w:rFonts w:ascii="Times New Roman" w:eastAsia="Times New Roman" w:hAnsi="Times New Roman" w:cs="Times New Roman"/>
          <w:lang w:val="es-ES"/>
        </w:rPr>
        <w:t xml:space="preserve"> en las siguientes gráficas </w:t>
      </w:r>
    </w:p>
    <w:p w14:paraId="44743CAA" w14:textId="22BB22FD" w:rsidR="00060AEC" w:rsidRDefault="00060AEC" w:rsidP="00DD23C8">
      <w:pPr>
        <w:rPr>
          <w:rFonts w:ascii="Times New Roman" w:eastAsia="Times New Roman" w:hAnsi="Times New Roman" w:cs="Times New Roman"/>
          <w:lang w:val="es-ES"/>
        </w:rPr>
      </w:pPr>
    </w:p>
    <w:p w14:paraId="003A1151" w14:textId="33E985A5" w:rsidR="000A1700" w:rsidRDefault="000A1700" w:rsidP="00DD23C8">
      <w:pPr>
        <w:rPr>
          <w:rFonts w:ascii="Times New Roman" w:eastAsia="Times New Roman" w:hAnsi="Times New Roman" w:cs="Times New Roman"/>
          <w:lang w:val="es-ES"/>
        </w:rPr>
      </w:pPr>
      <w:r>
        <w:rPr>
          <w:rFonts w:ascii="Times New Roman" w:eastAsia="Times New Roman" w:hAnsi="Times New Roman" w:cs="Times New Roman"/>
          <w:lang w:val="es-ES"/>
        </w:rPr>
        <w:t xml:space="preserve">ARIMA: </w:t>
      </w:r>
    </w:p>
    <w:p w14:paraId="20B8CC0E" w14:textId="51F6C1CC" w:rsidR="000A1700" w:rsidRDefault="000A1700" w:rsidP="00DD23C8">
      <w:pPr>
        <w:rPr>
          <w:rFonts w:ascii="Times New Roman" w:eastAsia="Times New Roman" w:hAnsi="Times New Roman" w:cs="Times New Roman"/>
          <w:lang w:val="es-ES"/>
        </w:rPr>
      </w:pPr>
      <w:r>
        <w:rPr>
          <w:rFonts w:ascii="Times New Roman" w:eastAsia="Times New Roman" w:hAnsi="Times New Roman" w:cs="Times New Roman"/>
          <w:noProof/>
          <w:lang w:val="es-ES"/>
        </w:rPr>
        <w:drawing>
          <wp:anchor distT="0" distB="0" distL="114300" distR="114300" simplePos="0" relativeHeight="251658240" behindDoc="0" locked="0" layoutInCell="1" allowOverlap="1" wp14:anchorId="52BA6ADA" wp14:editId="3593AADE">
            <wp:simplePos x="0" y="0"/>
            <wp:positionH relativeFrom="column">
              <wp:posOffset>3231515</wp:posOffset>
            </wp:positionH>
            <wp:positionV relativeFrom="paragraph">
              <wp:posOffset>173990</wp:posOffset>
            </wp:positionV>
            <wp:extent cx="3295015" cy="1684655"/>
            <wp:effectExtent l="0" t="0" r="0" b="4445"/>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5015" cy="1684655"/>
                    </a:xfrm>
                    <a:prstGeom prst="rect">
                      <a:avLst/>
                    </a:prstGeom>
                  </pic:spPr>
                </pic:pic>
              </a:graphicData>
            </a:graphic>
            <wp14:sizeRelH relativeFrom="page">
              <wp14:pctWidth>0</wp14:pctWidth>
            </wp14:sizeRelH>
            <wp14:sizeRelV relativeFrom="page">
              <wp14:pctHeight>0</wp14:pctHeight>
            </wp14:sizeRelV>
          </wp:anchor>
        </w:drawing>
      </w:r>
    </w:p>
    <w:p w14:paraId="2FC97FB6" w14:textId="21F0DB8A" w:rsidR="00060AEC" w:rsidRDefault="00060AEC" w:rsidP="00DD23C8">
      <w:pPr>
        <w:rPr>
          <w:rFonts w:ascii="Times New Roman" w:eastAsia="Times New Roman" w:hAnsi="Times New Roman" w:cs="Times New Roman"/>
          <w:lang w:val="es-ES"/>
        </w:rPr>
      </w:pPr>
      <w:r>
        <w:rPr>
          <w:rFonts w:ascii="Times New Roman" w:eastAsia="Times New Roman" w:hAnsi="Times New Roman" w:cs="Times New Roman"/>
          <w:noProof/>
          <w:lang w:val="es-ES"/>
        </w:rPr>
        <w:drawing>
          <wp:inline distT="0" distB="0" distL="0" distR="0" wp14:anchorId="0206A920" wp14:editId="0EE4596E">
            <wp:extent cx="3295461" cy="1685179"/>
            <wp:effectExtent l="0" t="0" r="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5461" cy="1685179"/>
                    </a:xfrm>
                    <a:prstGeom prst="rect">
                      <a:avLst/>
                    </a:prstGeom>
                  </pic:spPr>
                </pic:pic>
              </a:graphicData>
            </a:graphic>
          </wp:inline>
        </w:drawing>
      </w:r>
    </w:p>
    <w:p w14:paraId="32FA85E4" w14:textId="30230238" w:rsidR="00060AEC" w:rsidRDefault="000A1700" w:rsidP="00DD23C8">
      <w:pPr>
        <w:rPr>
          <w:rFonts w:ascii="Times New Roman" w:eastAsia="Times New Roman" w:hAnsi="Times New Roman" w:cs="Times New Roman"/>
          <w:lang w:val="es-ES"/>
        </w:rPr>
      </w:pPr>
      <w:r>
        <w:rPr>
          <w:rFonts w:ascii="Times New Roman" w:eastAsia="Times New Roman" w:hAnsi="Times New Roman" w:cs="Times New Roman"/>
          <w:noProof/>
          <w:lang w:val="es-ES"/>
        </w:rPr>
        <mc:AlternateContent>
          <mc:Choice Requires="wps">
            <w:drawing>
              <wp:anchor distT="0" distB="0" distL="114300" distR="114300" simplePos="0" relativeHeight="251661312" behindDoc="0" locked="0" layoutInCell="1" allowOverlap="1" wp14:anchorId="6E55218C" wp14:editId="3A776E4C">
                <wp:simplePos x="0" y="0"/>
                <wp:positionH relativeFrom="column">
                  <wp:posOffset>3494223</wp:posOffset>
                </wp:positionH>
                <wp:positionV relativeFrom="paragraph">
                  <wp:posOffset>81010</wp:posOffset>
                </wp:positionV>
                <wp:extent cx="1131570" cy="353060"/>
                <wp:effectExtent l="0" t="0" r="0" b="0"/>
                <wp:wrapNone/>
                <wp:docPr id="11" name="Text Box 11"/>
                <wp:cNvGraphicFramePr/>
                <a:graphic xmlns:a="http://schemas.openxmlformats.org/drawingml/2006/main">
                  <a:graphicData uri="http://schemas.microsoft.com/office/word/2010/wordprocessingShape">
                    <wps:wsp>
                      <wps:cNvSpPr txBox="1"/>
                      <wps:spPr>
                        <a:xfrm rot="10800000" flipV="1">
                          <a:off x="0" y="0"/>
                          <a:ext cx="1131570" cy="353060"/>
                        </a:xfrm>
                        <a:prstGeom prst="rect">
                          <a:avLst/>
                        </a:prstGeom>
                        <a:noFill/>
                        <a:ln w="6350">
                          <a:noFill/>
                        </a:ln>
                      </wps:spPr>
                      <wps:txbx>
                        <w:txbxContent>
                          <w:p w14:paraId="07C0AFF2" w14:textId="60A0B0A1" w:rsidR="000A1700" w:rsidRPr="000A1700" w:rsidRDefault="000A1700">
                            <w:pPr>
                              <w:rPr>
                                <w:sz w:val="22"/>
                                <w:szCs w:val="22"/>
                                <w:lang w:val="es-ES_tradnl"/>
                              </w:rPr>
                            </w:pPr>
                            <w:proofErr w:type="spellStart"/>
                            <w:r w:rsidRPr="000A1700">
                              <w:rPr>
                                <w:sz w:val="22"/>
                                <w:szCs w:val="22"/>
                                <w:lang w:val="es-ES_tradnl"/>
                              </w:rPr>
                              <w:t>Prophet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55218C" id="_x0000_t202" coordsize="21600,21600" o:spt="202" path="m,l,21600r21600,l21600,xe">
                <v:stroke joinstyle="miter"/>
                <v:path gradientshapeok="t" o:connecttype="rect"/>
              </v:shapetype>
              <v:shape id="Text Box 11" o:spid="_x0000_s1026" type="#_x0000_t202" style="position:absolute;margin-left:275.15pt;margin-top:6.4pt;width:89.1pt;height:27.8pt;rotation:180;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" filled="f" stroked="f" strokeweight=".5pt">
                <v:textbox>
                  <w:txbxContent>
                    <w:p w14:paraId="07C0AFF2" w14:textId="60A0B0A1" w:rsidR="000A1700" w:rsidRPr="000A1700" w:rsidRDefault="000A1700">
                      <w:pPr>
                        <w:rPr>
                          <w:sz w:val="22"/>
                          <w:szCs w:val="22"/>
                          <w:lang w:val="es-ES_tradnl"/>
                        </w:rPr>
                      </w:pPr>
                      <w:proofErr w:type="spellStart"/>
                      <w:r w:rsidRPr="000A1700">
                        <w:rPr>
                          <w:sz w:val="22"/>
                          <w:szCs w:val="22"/>
                          <w:lang w:val="es-ES_tradnl"/>
                        </w:rPr>
                        <w:t>Prophet</w:t>
                      </w:r>
                      <w:proofErr w:type="spellEnd"/>
                    </w:p>
                  </w:txbxContent>
                </v:textbox>
              </v:shape>
            </w:pict>
          </mc:Fallback>
        </mc:AlternateContent>
      </w:r>
      <w:r>
        <w:rPr>
          <w:rFonts w:ascii="Times New Roman" w:eastAsia="Times New Roman" w:hAnsi="Times New Roman" w:cs="Times New Roman"/>
          <w:noProof/>
          <w:lang w:val="es-ES"/>
        </w:rPr>
        <w:drawing>
          <wp:anchor distT="0" distB="0" distL="114300" distR="114300" simplePos="0" relativeHeight="251659264" behindDoc="0" locked="0" layoutInCell="1" allowOverlap="1" wp14:anchorId="43917561" wp14:editId="69456313">
            <wp:simplePos x="0" y="0"/>
            <wp:positionH relativeFrom="column">
              <wp:posOffset>579</wp:posOffset>
            </wp:positionH>
            <wp:positionV relativeFrom="paragraph">
              <wp:posOffset>144968</wp:posOffset>
            </wp:positionV>
            <wp:extent cx="3295015" cy="1684951"/>
            <wp:effectExtent l="0" t="0" r="0" b="4445"/>
            <wp:wrapNone/>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5015" cy="1684951"/>
                    </a:xfrm>
                    <a:prstGeom prst="rect">
                      <a:avLst/>
                    </a:prstGeom>
                  </pic:spPr>
                </pic:pic>
              </a:graphicData>
            </a:graphic>
            <wp14:sizeRelH relativeFrom="page">
              <wp14:pctWidth>0</wp14:pctWidth>
            </wp14:sizeRelH>
            <wp14:sizeRelV relativeFrom="page">
              <wp14:pctHeight>0</wp14:pctHeight>
            </wp14:sizeRelV>
          </wp:anchor>
        </w:drawing>
      </w:r>
    </w:p>
    <w:p w14:paraId="28DF1384" w14:textId="379BA63E" w:rsidR="00060AEC" w:rsidRDefault="000A1700" w:rsidP="00DD23C8">
      <w:pPr>
        <w:rPr>
          <w:rFonts w:ascii="Times New Roman" w:eastAsia="Times New Roman" w:hAnsi="Times New Roman" w:cs="Times New Roman"/>
          <w:lang w:val="es-ES"/>
        </w:rPr>
      </w:pPr>
      <w:r>
        <w:rPr>
          <w:rFonts w:ascii="Times New Roman" w:eastAsia="Times New Roman" w:hAnsi="Times New Roman" w:cs="Times New Roman"/>
          <w:noProof/>
          <w:lang w:val="es-ES"/>
        </w:rPr>
        <w:drawing>
          <wp:anchor distT="0" distB="0" distL="114300" distR="114300" simplePos="0" relativeHeight="251660288" behindDoc="0" locked="0" layoutInCell="1" allowOverlap="1" wp14:anchorId="6D9A764A" wp14:editId="30630241">
            <wp:simplePos x="0" y="0"/>
            <wp:positionH relativeFrom="column">
              <wp:posOffset>3340100</wp:posOffset>
            </wp:positionH>
            <wp:positionV relativeFrom="paragraph">
              <wp:posOffset>41382</wp:posOffset>
            </wp:positionV>
            <wp:extent cx="2091350" cy="1451643"/>
            <wp:effectExtent l="0" t="0" r="4445" b="0"/>
            <wp:wrapNone/>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1350" cy="1451643"/>
                    </a:xfrm>
                    <a:prstGeom prst="rect">
                      <a:avLst/>
                    </a:prstGeom>
                  </pic:spPr>
                </pic:pic>
              </a:graphicData>
            </a:graphic>
            <wp14:sizeRelH relativeFrom="page">
              <wp14:pctWidth>0</wp14:pctWidth>
            </wp14:sizeRelH>
            <wp14:sizeRelV relativeFrom="page">
              <wp14:pctHeight>0</wp14:pctHeight>
            </wp14:sizeRelV>
          </wp:anchor>
        </w:drawing>
      </w:r>
    </w:p>
    <w:p w14:paraId="65DB2577" w14:textId="4B4A54B4" w:rsidR="00060AEC" w:rsidRDefault="00060AEC" w:rsidP="00DD23C8">
      <w:pPr>
        <w:rPr>
          <w:rFonts w:ascii="Times New Roman" w:eastAsia="Times New Roman" w:hAnsi="Times New Roman" w:cs="Times New Roman"/>
          <w:lang w:val="es-ES"/>
        </w:rPr>
      </w:pPr>
    </w:p>
    <w:p w14:paraId="7A4F5C93" w14:textId="7B16CBB5" w:rsidR="00060AEC" w:rsidRDefault="00060AEC" w:rsidP="00DD23C8">
      <w:pPr>
        <w:rPr>
          <w:rFonts w:ascii="Times New Roman" w:eastAsia="Times New Roman" w:hAnsi="Times New Roman" w:cs="Times New Roman"/>
          <w:lang w:val="es-ES"/>
        </w:rPr>
      </w:pPr>
    </w:p>
    <w:p w14:paraId="6BDB21CC" w14:textId="757D3251" w:rsidR="00060AEC" w:rsidRDefault="00060AEC" w:rsidP="00DD23C8">
      <w:pPr>
        <w:rPr>
          <w:rFonts w:ascii="Times New Roman" w:eastAsia="Times New Roman" w:hAnsi="Times New Roman" w:cs="Times New Roman"/>
          <w:lang w:val="es-ES"/>
        </w:rPr>
      </w:pPr>
    </w:p>
    <w:p w14:paraId="58A2F0EE" w14:textId="245068E2" w:rsidR="00060AEC" w:rsidRDefault="00060AEC" w:rsidP="00DD23C8">
      <w:pPr>
        <w:rPr>
          <w:rFonts w:ascii="Times New Roman" w:eastAsia="Times New Roman" w:hAnsi="Times New Roman" w:cs="Times New Roman"/>
          <w:lang w:val="es-ES"/>
        </w:rPr>
      </w:pPr>
    </w:p>
    <w:p w14:paraId="7A5B55FC" w14:textId="783B91B3" w:rsidR="000A1700" w:rsidRDefault="000A1700" w:rsidP="00DD23C8">
      <w:pPr>
        <w:rPr>
          <w:rFonts w:ascii="Times New Roman" w:eastAsia="Times New Roman" w:hAnsi="Times New Roman" w:cs="Times New Roman"/>
          <w:lang w:val="es-ES"/>
        </w:rPr>
      </w:pP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w:t>
      </w:r>
    </w:p>
    <w:p w14:paraId="37EA35A9" w14:textId="1EAAAB29" w:rsidR="000A1700" w:rsidRDefault="000A1700" w:rsidP="00DD23C8">
      <w:pPr>
        <w:rPr>
          <w:rFonts w:ascii="Times New Roman" w:eastAsia="Times New Roman" w:hAnsi="Times New Roman" w:cs="Times New Roman"/>
          <w:lang w:val="es-ES"/>
        </w:rPr>
      </w:pPr>
    </w:p>
    <w:p w14:paraId="7A3FCCA7" w14:textId="43353B6D" w:rsidR="000A1700" w:rsidRDefault="000A1700" w:rsidP="00DD23C8">
      <w:pPr>
        <w:rPr>
          <w:rFonts w:ascii="Times New Roman" w:eastAsia="Times New Roman" w:hAnsi="Times New Roman" w:cs="Times New Roman"/>
          <w:lang w:val="es-ES"/>
        </w:rPr>
      </w:pPr>
    </w:p>
    <w:p w14:paraId="6D00CE27" w14:textId="77777777" w:rsidR="000A1700" w:rsidRDefault="000A1700" w:rsidP="00DD23C8">
      <w:pPr>
        <w:rPr>
          <w:rFonts w:ascii="Times New Roman" w:eastAsia="Times New Roman" w:hAnsi="Times New Roman" w:cs="Times New Roman"/>
          <w:lang w:val="es-ES"/>
        </w:rPr>
      </w:pPr>
    </w:p>
    <w:p w14:paraId="51D24C46" w14:textId="77777777" w:rsidR="000A1700" w:rsidRDefault="000A1700" w:rsidP="00DD23C8">
      <w:pPr>
        <w:rPr>
          <w:rFonts w:ascii="Times New Roman" w:eastAsia="Times New Roman" w:hAnsi="Times New Roman" w:cs="Times New Roman"/>
          <w:lang w:val="es-ES"/>
        </w:rPr>
      </w:pPr>
    </w:p>
    <w:p w14:paraId="20E5CB03" w14:textId="77777777" w:rsidR="000A1700" w:rsidRDefault="000A1700" w:rsidP="00DD23C8">
      <w:pPr>
        <w:rPr>
          <w:rFonts w:ascii="Times New Roman" w:eastAsia="Times New Roman" w:hAnsi="Times New Roman" w:cs="Times New Roman"/>
          <w:lang w:val="es-ES"/>
        </w:rPr>
      </w:pPr>
    </w:p>
    <w:p w14:paraId="2F50E1EF" w14:textId="39869388" w:rsidR="00F47BD1" w:rsidRDefault="00B0428E" w:rsidP="00160C89">
      <w:pPr>
        <w:jc w:val="both"/>
        <w:rPr>
          <w:rFonts w:ascii="Times New Roman" w:eastAsia="Times New Roman" w:hAnsi="Times New Roman" w:cs="Times New Roman"/>
          <w:lang w:val="es-ES"/>
        </w:rPr>
      </w:pPr>
      <w:r w:rsidRPr="00B0428E">
        <w:rPr>
          <w:rFonts w:ascii="Times New Roman" w:eastAsia="Times New Roman" w:hAnsi="Times New Roman" w:cs="Times New Roman"/>
          <w:lang w:val="es-ES"/>
        </w:rPr>
        <w:t xml:space="preserve">Los modelos </w:t>
      </w:r>
      <w:r>
        <w:rPr>
          <w:rFonts w:ascii="Times New Roman" w:eastAsia="Times New Roman" w:hAnsi="Times New Roman" w:cs="Times New Roman"/>
          <w:lang w:val="es-ES"/>
        </w:rPr>
        <w:t>ARIMA</w:t>
      </w:r>
      <w:r w:rsidR="00160C89">
        <w:rPr>
          <w:rFonts w:ascii="Times New Roman" w:eastAsia="Times New Roman" w:hAnsi="Times New Roman" w:cs="Times New Roman"/>
          <w:lang w:val="es-ES"/>
        </w:rPr>
        <w:t xml:space="preserve">, a los cuales se les aplico un </w:t>
      </w:r>
      <w:proofErr w:type="spellStart"/>
      <w:r w:rsidR="00160C89" w:rsidRPr="00160C89">
        <w:rPr>
          <w:rFonts w:ascii="Times New Roman" w:eastAsia="Times New Roman" w:hAnsi="Times New Roman" w:cs="Times New Roman"/>
          <w:i/>
          <w:iCs/>
          <w:lang w:val="es-ES"/>
        </w:rPr>
        <w:t>backtesting</w:t>
      </w:r>
      <w:proofErr w:type="spellEnd"/>
      <w:r w:rsidR="00160C89">
        <w:rPr>
          <w:rFonts w:ascii="Times New Roman" w:eastAsia="Times New Roman" w:hAnsi="Times New Roman" w:cs="Times New Roman"/>
          <w:lang w:val="es-ES"/>
        </w:rPr>
        <w:t xml:space="preserve"> de entrenamiento y prueba, </w:t>
      </w:r>
      <w:r w:rsidRPr="00B0428E">
        <w:rPr>
          <w:rFonts w:ascii="Times New Roman" w:eastAsia="Times New Roman" w:hAnsi="Times New Roman" w:cs="Times New Roman"/>
          <w:lang w:val="es-ES"/>
        </w:rPr>
        <w:t>muestran el comp</w:t>
      </w:r>
      <w:r>
        <w:rPr>
          <w:rFonts w:ascii="Times New Roman" w:eastAsia="Times New Roman" w:hAnsi="Times New Roman" w:cs="Times New Roman"/>
          <w:lang w:val="es-ES"/>
        </w:rPr>
        <w:t>o</w:t>
      </w:r>
      <w:r w:rsidRPr="00B0428E">
        <w:rPr>
          <w:rFonts w:ascii="Times New Roman" w:eastAsia="Times New Roman" w:hAnsi="Times New Roman" w:cs="Times New Roman"/>
          <w:lang w:val="es-ES"/>
        </w:rPr>
        <w:t>r</w:t>
      </w:r>
      <w:r>
        <w:rPr>
          <w:rFonts w:ascii="Times New Roman" w:eastAsia="Times New Roman" w:hAnsi="Times New Roman" w:cs="Times New Roman"/>
          <w:lang w:val="es-ES"/>
        </w:rPr>
        <w:t>tamiento futuro de los precios tienen un componente mayor de volatilidad dado que la tendencia pasada muestra picos fuertes, en especial entre 2018-2019, lo cual provoca también que las predicciones tengan mayor rango de predicción, es decir altas probabilidades de yerro</w:t>
      </w:r>
      <w:r w:rsidR="00160C89">
        <w:rPr>
          <w:rFonts w:ascii="Times New Roman" w:eastAsia="Times New Roman" w:hAnsi="Times New Roman" w:cs="Times New Roman"/>
          <w:lang w:val="es-ES"/>
        </w:rPr>
        <w:t xml:space="preserve">, algo que también tiene que ver con que la prueba de </w:t>
      </w:r>
      <w:proofErr w:type="spellStart"/>
      <w:r w:rsidR="00160C89" w:rsidRPr="00160C89">
        <w:rPr>
          <w:rFonts w:ascii="Times New Roman" w:eastAsia="Times New Roman" w:hAnsi="Times New Roman" w:cs="Times New Roman"/>
          <w:i/>
          <w:iCs/>
          <w:lang w:val="es-ES"/>
        </w:rPr>
        <w:t>backtesting</w:t>
      </w:r>
      <w:proofErr w:type="spellEnd"/>
      <w:r w:rsidR="00160C89">
        <w:rPr>
          <w:rFonts w:ascii="Times New Roman" w:eastAsia="Times New Roman" w:hAnsi="Times New Roman" w:cs="Times New Roman"/>
          <w:lang w:val="es-ES"/>
        </w:rPr>
        <w:t xml:space="preserve"> mostró una mayor dispersión al ajustarse a la partición de prueba</w:t>
      </w:r>
      <w:r>
        <w:rPr>
          <w:rFonts w:ascii="Times New Roman" w:eastAsia="Times New Roman" w:hAnsi="Times New Roman" w:cs="Times New Roman"/>
          <w:lang w:val="es-ES"/>
        </w:rPr>
        <w:t xml:space="preserve">.   </w:t>
      </w:r>
    </w:p>
    <w:p w14:paraId="240F59E0" w14:textId="7BF79C3F" w:rsidR="00B0428E" w:rsidRDefault="00B0428E" w:rsidP="00DD23C8">
      <w:pPr>
        <w:rPr>
          <w:rFonts w:ascii="Times New Roman" w:eastAsia="Times New Roman" w:hAnsi="Times New Roman" w:cs="Times New Roman"/>
          <w:lang w:val="es-ES"/>
        </w:rPr>
      </w:pPr>
    </w:p>
    <w:p w14:paraId="65320DBA" w14:textId="48BC1960" w:rsidR="00B0428E" w:rsidRPr="00B0428E" w:rsidRDefault="00B0428E" w:rsidP="00DD23C8">
      <w:pPr>
        <w:rPr>
          <w:rFonts w:ascii="Times New Roman" w:eastAsia="Times New Roman" w:hAnsi="Times New Roman" w:cs="Times New Roman"/>
          <w:lang w:val="es-ES"/>
        </w:rPr>
      </w:pPr>
      <w:r>
        <w:rPr>
          <w:rFonts w:ascii="Times New Roman" w:eastAsia="Times New Roman" w:hAnsi="Times New Roman" w:cs="Times New Roman"/>
          <w:lang w:val="es-ES"/>
        </w:rPr>
        <w:t xml:space="preserve">Mientras, la metodología </w:t>
      </w: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ajustada con los regresores adicionales muestran mayor ajuste futuro, y una mayor precisión, anotando que debido a que se tuvo que proyectar data futura, se tiene riesgo de caer en sesgo y sobreajuste.</w:t>
      </w:r>
    </w:p>
    <w:p w14:paraId="6DE1F6A1" w14:textId="77777777" w:rsidR="00F47BD1" w:rsidRPr="00B0428E" w:rsidRDefault="00F47BD1" w:rsidP="00DD23C8">
      <w:pPr>
        <w:rPr>
          <w:rFonts w:ascii="Times New Roman" w:eastAsia="Times New Roman" w:hAnsi="Times New Roman" w:cs="Times New Roman"/>
          <w:lang w:val="es-ES"/>
        </w:rPr>
      </w:pPr>
    </w:p>
    <w:p w14:paraId="6566AD1E" w14:textId="7C8BD18C" w:rsidR="00D96D02" w:rsidRDefault="00D96D02" w:rsidP="00DD23C8">
      <w:pPr>
        <w:rPr>
          <w:rFonts w:ascii="Times New Roman" w:eastAsia="Times New Roman" w:hAnsi="Times New Roman" w:cs="Times New Roman"/>
        </w:rPr>
      </w:pPr>
    </w:p>
    <w:p w14:paraId="1AF2E5F7" w14:textId="736D032D" w:rsidR="00B272F8" w:rsidRDefault="00B272F8" w:rsidP="00DD23C8">
      <w:pPr>
        <w:rPr>
          <w:rFonts w:ascii="Times New Roman" w:eastAsia="Times New Roman" w:hAnsi="Times New Roman" w:cs="Times New Roman"/>
        </w:rPr>
      </w:pPr>
    </w:p>
    <w:p w14:paraId="381FDC5F" w14:textId="77777777" w:rsidR="00B272F8" w:rsidRDefault="00B272F8" w:rsidP="00DD23C8">
      <w:pPr>
        <w:rPr>
          <w:rFonts w:ascii="Times New Roman" w:eastAsia="Times New Roman" w:hAnsi="Times New Roman" w:cs="Times New Roman"/>
        </w:rPr>
      </w:pPr>
    </w:p>
    <w:p w14:paraId="55909B54" w14:textId="0CF9BF75" w:rsidR="00DD23C8" w:rsidRDefault="00867549" w:rsidP="00DD23C8">
      <w:pPr>
        <w:rPr>
          <w:rFonts w:ascii="Times New Roman" w:eastAsia="Times New Roman" w:hAnsi="Times New Roman" w:cs="Times New Roman"/>
          <w:lang w:val="es-ES_tradnl"/>
        </w:rPr>
      </w:pPr>
      <w:r w:rsidRPr="00867549">
        <w:rPr>
          <w:rFonts w:ascii="Times New Roman" w:eastAsia="Times New Roman" w:hAnsi="Times New Roman" w:cs="Times New Roman"/>
          <w:b/>
          <w:bCs/>
          <w:lang w:val="es-ES_tradnl"/>
        </w:rPr>
        <w:lastRenderedPageBreak/>
        <w:t xml:space="preserve">Conclusiones </w:t>
      </w:r>
    </w:p>
    <w:p w14:paraId="7D24E273" w14:textId="77777777" w:rsidR="00867549" w:rsidRPr="00867549" w:rsidRDefault="00867549" w:rsidP="00DD23C8">
      <w:pPr>
        <w:rPr>
          <w:rFonts w:ascii="Times New Roman" w:eastAsia="Times New Roman" w:hAnsi="Times New Roman" w:cs="Times New Roman"/>
          <w:lang w:val="es-ES_tradnl"/>
        </w:rPr>
      </w:pPr>
    </w:p>
    <w:p w14:paraId="1947CFDE" w14:textId="561321F3" w:rsidR="009649DC" w:rsidRDefault="00160C89" w:rsidP="00160C89">
      <w:pPr>
        <w:rPr>
          <w:rFonts w:ascii="Times New Roman" w:eastAsia="Times New Roman" w:hAnsi="Times New Roman" w:cs="Times New Roman"/>
          <w:lang w:val="es-ES"/>
        </w:rPr>
      </w:pPr>
      <w:r>
        <w:rPr>
          <w:rFonts w:ascii="Times New Roman" w:eastAsia="Times New Roman" w:hAnsi="Times New Roman" w:cs="Times New Roman"/>
          <w:lang w:val="es-ES"/>
        </w:rPr>
        <w:t xml:space="preserve">Los </w:t>
      </w:r>
      <w:r w:rsidR="00867549">
        <w:rPr>
          <w:rFonts w:ascii="Times New Roman" w:eastAsia="Times New Roman" w:hAnsi="Times New Roman" w:cs="Times New Roman"/>
          <w:lang w:val="es-ES"/>
        </w:rPr>
        <w:t>modelos</w:t>
      </w:r>
      <w:r>
        <w:rPr>
          <w:rFonts w:ascii="Times New Roman" w:eastAsia="Times New Roman" w:hAnsi="Times New Roman" w:cs="Times New Roman"/>
          <w:lang w:val="es-ES"/>
        </w:rPr>
        <w:t xml:space="preserve"> ARIMA pueden ser una solución rápida para la predicción </w:t>
      </w:r>
      <w:proofErr w:type="gramStart"/>
      <w:r>
        <w:rPr>
          <w:rFonts w:ascii="Times New Roman" w:eastAsia="Times New Roman" w:hAnsi="Times New Roman" w:cs="Times New Roman"/>
          <w:lang w:val="es-ES"/>
        </w:rPr>
        <w:t>de los precio</w:t>
      </w:r>
      <w:proofErr w:type="gramEnd"/>
      <w:r>
        <w:rPr>
          <w:rFonts w:ascii="Times New Roman" w:eastAsia="Times New Roman" w:hAnsi="Times New Roman" w:cs="Times New Roman"/>
          <w:lang w:val="es-ES"/>
        </w:rPr>
        <w:t xml:space="preserve"> a un horizonte de corto plazo, dado que no tienen la facilidad de poder añadir variables que puedan ser parte de los efectos no observables. Los precios son afectados por los comportamientos del mercado y de variables exógenas (en especial del clima) lo cual provoca que </w:t>
      </w:r>
      <w:r w:rsidR="009649DC">
        <w:rPr>
          <w:rFonts w:ascii="Times New Roman" w:eastAsia="Times New Roman" w:hAnsi="Times New Roman" w:cs="Times New Roman"/>
          <w:lang w:val="es-ES"/>
        </w:rPr>
        <w:t xml:space="preserve">el horizonte efectivo de predicción no sea amplio. </w:t>
      </w:r>
    </w:p>
    <w:p w14:paraId="1E97DBF8" w14:textId="77777777" w:rsidR="009649DC" w:rsidRDefault="009649DC" w:rsidP="00160C89">
      <w:pPr>
        <w:rPr>
          <w:rFonts w:ascii="Times New Roman" w:eastAsia="Times New Roman" w:hAnsi="Times New Roman" w:cs="Times New Roman"/>
          <w:lang w:val="es-ES"/>
        </w:rPr>
      </w:pPr>
    </w:p>
    <w:p w14:paraId="4A037315" w14:textId="21E9511F" w:rsidR="00023672" w:rsidRDefault="009649DC" w:rsidP="00160C89">
      <w:pPr>
        <w:rPr>
          <w:rFonts w:ascii="Times New Roman" w:eastAsia="Times New Roman" w:hAnsi="Times New Roman" w:cs="Times New Roman"/>
          <w:lang w:val="es-ES"/>
        </w:rPr>
      </w:pP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xml:space="preserve"> permite de una manera más intuitiva, y directa, añadir efectos de variables regresores. En nuestro caso el efecto se tomó como aditivo por defecto, pero puede también podría haberse tomado como multiplicativo. Aun así, este añadido, de manera mucho más sencilla que colocar variables exógenas al modelo ARIMA (que lo convertiría en un modelo más próximo a una metodología de rezagos distribuidos)</w:t>
      </w:r>
      <w:r w:rsidR="00160C89">
        <w:rPr>
          <w:rFonts w:ascii="Times New Roman" w:eastAsia="Times New Roman" w:hAnsi="Times New Roman" w:cs="Times New Roman"/>
          <w:lang w:val="es-ES"/>
        </w:rPr>
        <w:t xml:space="preserve"> </w:t>
      </w:r>
      <w:r>
        <w:rPr>
          <w:rFonts w:ascii="Times New Roman" w:eastAsia="Times New Roman" w:hAnsi="Times New Roman" w:cs="Times New Roman"/>
          <w:lang w:val="es-ES"/>
        </w:rPr>
        <w:t xml:space="preserve">hace que el pronóstico tenga menos rango de error. Sin embargo, el hecho de que se necesiten datos futuros de estas variables </w:t>
      </w:r>
      <w:proofErr w:type="spellStart"/>
      <w:r>
        <w:rPr>
          <w:rFonts w:ascii="Times New Roman" w:eastAsia="Times New Roman" w:hAnsi="Times New Roman" w:cs="Times New Roman"/>
          <w:lang w:val="es-ES"/>
        </w:rPr>
        <w:t>regresoras</w:t>
      </w:r>
      <w:proofErr w:type="spellEnd"/>
      <w:r>
        <w:rPr>
          <w:rFonts w:ascii="Times New Roman" w:eastAsia="Times New Roman" w:hAnsi="Times New Roman" w:cs="Times New Roman"/>
          <w:lang w:val="es-ES"/>
        </w:rPr>
        <w:t xml:space="preserve"> provoca que se tengan problemas de acceso a datos, o de sesgo dado que el pronóstico puede tener problemas por </w:t>
      </w:r>
      <w:r w:rsidR="00867549">
        <w:rPr>
          <w:rFonts w:ascii="Times New Roman" w:eastAsia="Times New Roman" w:hAnsi="Times New Roman" w:cs="Times New Roman"/>
          <w:lang w:val="es-ES"/>
        </w:rPr>
        <w:t xml:space="preserve">asumir linealidad o estacionalidad. </w:t>
      </w:r>
    </w:p>
    <w:p w14:paraId="0ED9D361" w14:textId="558EDDCB" w:rsidR="00867549" w:rsidRDefault="00867549" w:rsidP="00160C89">
      <w:pPr>
        <w:rPr>
          <w:rFonts w:ascii="Times New Roman" w:eastAsia="Times New Roman" w:hAnsi="Times New Roman" w:cs="Times New Roman"/>
          <w:lang w:val="es-ES"/>
        </w:rPr>
      </w:pPr>
    </w:p>
    <w:p w14:paraId="64DF9F5E" w14:textId="433EBD00" w:rsidR="00867549" w:rsidRDefault="00867549" w:rsidP="00160C89">
      <w:pPr>
        <w:rPr>
          <w:rFonts w:ascii="Times New Roman" w:eastAsia="Times New Roman" w:hAnsi="Times New Roman" w:cs="Times New Roman"/>
          <w:lang w:val="es-ES"/>
        </w:rPr>
      </w:pPr>
      <w:r>
        <w:rPr>
          <w:rFonts w:ascii="Times New Roman" w:eastAsia="Times New Roman" w:hAnsi="Times New Roman" w:cs="Times New Roman"/>
          <w:lang w:val="es-ES"/>
        </w:rPr>
        <w:t xml:space="preserve">Por tanto, el siguiente paso sería poder optimizar el modelo </w:t>
      </w: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xml:space="preserve">, utilizándola en mancuerna con otras metodologías como árboles o redes neuronales, que pudieran permitir un mejor ajuste de esas variables </w:t>
      </w:r>
      <w:proofErr w:type="spellStart"/>
      <w:r>
        <w:rPr>
          <w:rFonts w:ascii="Times New Roman" w:eastAsia="Times New Roman" w:hAnsi="Times New Roman" w:cs="Times New Roman"/>
          <w:lang w:val="es-ES"/>
        </w:rPr>
        <w:t>regresoras</w:t>
      </w:r>
      <w:proofErr w:type="spellEnd"/>
      <w:r>
        <w:rPr>
          <w:rFonts w:ascii="Times New Roman" w:eastAsia="Times New Roman" w:hAnsi="Times New Roman" w:cs="Times New Roman"/>
          <w:lang w:val="es-ES"/>
        </w:rPr>
        <w:t xml:space="preserve"> a futuro, reduciendo el potencial de sesgo.</w:t>
      </w:r>
    </w:p>
    <w:p w14:paraId="6729C69F" w14:textId="1CD0A561" w:rsidR="00867549" w:rsidRDefault="00867549" w:rsidP="00160C89">
      <w:pPr>
        <w:rPr>
          <w:rFonts w:ascii="Times New Roman" w:eastAsia="Times New Roman" w:hAnsi="Times New Roman" w:cs="Times New Roman"/>
          <w:lang w:val="es-ES"/>
        </w:rPr>
      </w:pPr>
    </w:p>
    <w:p w14:paraId="0B653B81" w14:textId="6F8B79A0" w:rsidR="00867549" w:rsidRDefault="00867549" w:rsidP="00160C89">
      <w:pPr>
        <w:rPr>
          <w:lang w:val="es-ES_tradnl"/>
        </w:rPr>
      </w:pPr>
    </w:p>
    <w:p w14:paraId="54C5E85C" w14:textId="476FE75D" w:rsidR="00194587" w:rsidRDefault="00194587" w:rsidP="00160C89">
      <w:pPr>
        <w:rPr>
          <w:lang w:val="es-ES_tradnl"/>
        </w:rPr>
      </w:pPr>
    </w:p>
    <w:p w14:paraId="2B0BC1BD" w14:textId="663D30A1" w:rsidR="00194587" w:rsidRDefault="00194587" w:rsidP="00160C89">
      <w:pPr>
        <w:rPr>
          <w:lang w:val="es-ES_tradnl"/>
        </w:rPr>
      </w:pPr>
      <w:r>
        <w:rPr>
          <w:lang w:val="es-ES_tradnl"/>
        </w:rPr>
        <w:t>Bibliografía</w:t>
      </w:r>
    </w:p>
    <w:p w14:paraId="2F0380E2" w14:textId="547F8C92" w:rsidR="00194587" w:rsidRDefault="00194587" w:rsidP="00160C89">
      <w:pPr>
        <w:rPr>
          <w:lang w:val="es-ES_tradnl"/>
        </w:rPr>
      </w:pPr>
    </w:p>
    <w:p w14:paraId="5857B109" w14:textId="77777777" w:rsidR="00194587" w:rsidRDefault="00194587" w:rsidP="00194587">
      <w:pPr>
        <w:jc w:val="both"/>
        <w:rPr>
          <w:rFonts w:ascii="Times New Roman" w:hAnsi="Times New Roman" w:cs="Times New Roman"/>
        </w:rPr>
      </w:pPr>
      <w:r w:rsidRPr="00D6003B">
        <w:rPr>
          <w:rFonts w:ascii="Times New Roman" w:hAnsi="Times New Roman" w:cs="Times New Roman"/>
        </w:rPr>
        <w:t>Toro D.</w:t>
      </w:r>
      <w:r>
        <w:rPr>
          <w:rFonts w:ascii="Times New Roman" w:hAnsi="Times New Roman" w:cs="Times New Roman"/>
        </w:rPr>
        <w:t xml:space="preserve"> (2015).</w:t>
      </w:r>
      <w:r w:rsidRPr="00D6003B">
        <w:rPr>
          <w:rFonts w:ascii="Times New Roman" w:hAnsi="Times New Roman" w:cs="Times New Roman"/>
        </w:rPr>
        <w:t xml:space="preserve"> Descripción e influencia de las variables hidrológicas en la determinación del precio spot de energía eléctrica en </w:t>
      </w:r>
      <w:r>
        <w:rPr>
          <w:rFonts w:ascii="Times New Roman" w:hAnsi="Times New Roman" w:cs="Times New Roman"/>
        </w:rPr>
        <w:t>C</w:t>
      </w:r>
      <w:r w:rsidRPr="00D6003B">
        <w:rPr>
          <w:rFonts w:ascii="Times New Roman" w:hAnsi="Times New Roman" w:cs="Times New Roman"/>
        </w:rPr>
        <w:t>olombia</w:t>
      </w:r>
      <w:r>
        <w:rPr>
          <w:rFonts w:ascii="Times New Roman" w:hAnsi="Times New Roman" w:cs="Times New Roman"/>
        </w:rPr>
        <w:t xml:space="preserve">. </w:t>
      </w:r>
      <w:r w:rsidRPr="00D35086">
        <w:rPr>
          <w:rFonts w:ascii="Times New Roman" w:hAnsi="Times New Roman" w:cs="Times New Roman"/>
        </w:rPr>
        <w:t>U</w:t>
      </w:r>
      <w:r>
        <w:rPr>
          <w:rFonts w:ascii="Times New Roman" w:hAnsi="Times New Roman" w:cs="Times New Roman"/>
        </w:rPr>
        <w:t>niversidad</w:t>
      </w:r>
      <w:r w:rsidRPr="00D35086">
        <w:rPr>
          <w:rFonts w:ascii="Times New Roman" w:hAnsi="Times New Roman" w:cs="Times New Roman"/>
        </w:rPr>
        <w:t xml:space="preserve"> EAFIT</w:t>
      </w:r>
      <w:r>
        <w:rPr>
          <w:rFonts w:ascii="Times New Roman" w:hAnsi="Times New Roman" w:cs="Times New Roman"/>
        </w:rPr>
        <w:t>.</w:t>
      </w:r>
    </w:p>
    <w:p w14:paraId="54FCB5F4" w14:textId="77777777" w:rsidR="00194587" w:rsidRDefault="00194587" w:rsidP="00194587">
      <w:pPr>
        <w:jc w:val="both"/>
        <w:rPr>
          <w:rFonts w:ascii="Times New Roman" w:hAnsi="Times New Roman" w:cs="Times New Roman"/>
        </w:rPr>
      </w:pPr>
    </w:p>
    <w:p w14:paraId="372F8428" w14:textId="7DDD2CD3" w:rsidR="00194587" w:rsidRDefault="00194587" w:rsidP="00194587">
      <w:pPr>
        <w:jc w:val="both"/>
        <w:rPr>
          <w:rFonts w:ascii="Times New Roman" w:hAnsi="Times New Roman" w:cs="Times New Roman"/>
          <w:color w:val="000000"/>
        </w:rPr>
      </w:pPr>
      <w:r w:rsidRPr="00D35086">
        <w:rPr>
          <w:rFonts w:ascii="Times New Roman" w:hAnsi="Times New Roman" w:cs="Times New Roman"/>
        </w:rPr>
        <w:t xml:space="preserve">Barrientos J. &amp; Toro M. (2016) Análisis de los fundamentales del precio de la energía eléctrica: evidencia empírica para Colombia. </w:t>
      </w:r>
      <w:r w:rsidRPr="00D35086">
        <w:rPr>
          <w:rFonts w:ascii="Times New Roman" w:hAnsi="Times New Roman" w:cs="Times New Roman"/>
          <w:color w:val="000000"/>
        </w:rPr>
        <w:t>Universidad de Antioquia</w:t>
      </w:r>
      <w:r>
        <w:rPr>
          <w:rFonts w:ascii="Times New Roman" w:hAnsi="Times New Roman" w:cs="Times New Roman"/>
          <w:color w:val="000000"/>
        </w:rPr>
        <w:t>.</w:t>
      </w:r>
    </w:p>
    <w:p w14:paraId="290D9D07" w14:textId="0A4DF17C" w:rsidR="00194587" w:rsidRDefault="00194587" w:rsidP="00194587">
      <w:pPr>
        <w:jc w:val="both"/>
        <w:rPr>
          <w:rFonts w:ascii="Times New Roman" w:hAnsi="Times New Roman" w:cs="Times New Roman"/>
          <w:color w:val="000000"/>
        </w:rPr>
      </w:pPr>
    </w:p>
    <w:p w14:paraId="6B35D0A6" w14:textId="46CE3AC1" w:rsidR="00194587" w:rsidRPr="00B272F8" w:rsidRDefault="00194587" w:rsidP="00194587">
      <w:pPr>
        <w:jc w:val="both"/>
        <w:rPr>
          <w:rFonts w:ascii="Times New Roman" w:hAnsi="Times New Roman" w:cs="Times New Roman"/>
          <w:lang w:val="en-US"/>
        </w:rPr>
      </w:pPr>
      <w:r w:rsidRPr="00B272F8">
        <w:rPr>
          <w:rFonts w:ascii="Times New Roman" w:hAnsi="Times New Roman" w:cs="Times New Roman"/>
          <w:color w:val="000000"/>
          <w:lang w:val="en-US"/>
        </w:rPr>
        <w:t xml:space="preserve">Hyndman R, &amp; </w:t>
      </w:r>
      <w:proofErr w:type="spellStart"/>
      <w:r w:rsidRPr="00B272F8">
        <w:rPr>
          <w:rFonts w:ascii="Times New Roman" w:hAnsi="Times New Roman" w:cs="Times New Roman"/>
          <w:color w:val="000000"/>
          <w:lang w:val="en-US"/>
        </w:rPr>
        <w:t>Athanasopoulus</w:t>
      </w:r>
      <w:proofErr w:type="spellEnd"/>
      <w:r w:rsidRPr="00B272F8">
        <w:rPr>
          <w:rFonts w:ascii="Times New Roman" w:hAnsi="Times New Roman" w:cs="Times New Roman"/>
          <w:color w:val="000000"/>
          <w:lang w:val="en-US"/>
        </w:rPr>
        <w:t xml:space="preserve"> </w:t>
      </w:r>
      <w:r w:rsidR="00B272F8" w:rsidRPr="00B272F8">
        <w:rPr>
          <w:rFonts w:ascii="Times New Roman" w:hAnsi="Times New Roman" w:cs="Times New Roman"/>
          <w:color w:val="000000"/>
          <w:lang w:val="en-US"/>
        </w:rPr>
        <w:t>G. (2018) Fore</w:t>
      </w:r>
      <w:r w:rsidR="00B272F8">
        <w:rPr>
          <w:rFonts w:ascii="Times New Roman" w:hAnsi="Times New Roman" w:cs="Times New Roman"/>
          <w:color w:val="000000"/>
          <w:lang w:val="en-US"/>
        </w:rPr>
        <w:t xml:space="preserve">casting: Principles and Practice, Monash University, Australia. </w:t>
      </w:r>
      <w:r w:rsidR="00B272F8" w:rsidRPr="00B272F8">
        <w:rPr>
          <w:rFonts w:ascii="Times New Roman" w:hAnsi="Times New Roman" w:cs="Times New Roman"/>
          <w:color w:val="000000"/>
          <w:lang w:val="en-US"/>
        </w:rPr>
        <w:t>https://otexts.com/fpp3/</w:t>
      </w:r>
    </w:p>
    <w:p w14:paraId="3C408F16" w14:textId="442D988A" w:rsidR="00194587" w:rsidRDefault="00194587" w:rsidP="00160C89">
      <w:pPr>
        <w:rPr>
          <w:lang w:val="en-US"/>
        </w:rPr>
      </w:pPr>
    </w:p>
    <w:p w14:paraId="2441BA6E" w14:textId="6EE2D742" w:rsidR="00B272F8" w:rsidRDefault="00B272F8" w:rsidP="00160C89">
      <w:pPr>
        <w:rPr>
          <w:i/>
          <w:iCs/>
          <w:lang w:val="en-US"/>
        </w:rPr>
      </w:pPr>
      <w:r>
        <w:rPr>
          <w:i/>
          <w:iCs/>
          <w:lang w:val="en-US"/>
        </w:rPr>
        <w:t xml:space="preserve">Links </w:t>
      </w:r>
      <w:proofErr w:type="spellStart"/>
      <w:r>
        <w:rPr>
          <w:i/>
          <w:iCs/>
          <w:lang w:val="en-US"/>
        </w:rPr>
        <w:t>datos</w:t>
      </w:r>
      <w:proofErr w:type="spellEnd"/>
      <w:r>
        <w:rPr>
          <w:i/>
          <w:iCs/>
          <w:lang w:val="en-US"/>
        </w:rPr>
        <w:t xml:space="preserve"> </w:t>
      </w:r>
      <w:proofErr w:type="spellStart"/>
      <w:r>
        <w:rPr>
          <w:i/>
          <w:iCs/>
          <w:lang w:val="en-US"/>
        </w:rPr>
        <w:t>oficiales</w:t>
      </w:r>
      <w:proofErr w:type="spellEnd"/>
    </w:p>
    <w:p w14:paraId="0F68E5EE" w14:textId="77777777" w:rsidR="00B272F8" w:rsidRDefault="00B272F8" w:rsidP="00160C89">
      <w:pPr>
        <w:rPr>
          <w:i/>
          <w:iCs/>
          <w:lang w:val="en-US"/>
        </w:rPr>
      </w:pPr>
    </w:p>
    <w:p w14:paraId="036EB2C9" w14:textId="77777777" w:rsidR="00B272F8" w:rsidRPr="00B272F8" w:rsidRDefault="00B272F8" w:rsidP="00B272F8">
      <w:pPr>
        <w:pStyle w:val="FootnoteText"/>
        <w:rPr>
          <w:rFonts w:ascii="Times New Roman" w:hAnsi="Times New Roman" w:cs="Times New Roman"/>
          <w:lang w:val="en-US"/>
        </w:rPr>
      </w:pPr>
      <w:r w:rsidRPr="009A4A71">
        <w:rPr>
          <w:rStyle w:val="FootnoteReference"/>
          <w:rFonts w:ascii="Times New Roman" w:hAnsi="Times New Roman" w:cs="Times New Roman"/>
        </w:rPr>
        <w:footnoteRef/>
      </w:r>
      <w:r w:rsidRPr="00B272F8">
        <w:rPr>
          <w:rFonts w:ascii="Times New Roman" w:hAnsi="Times New Roman" w:cs="Times New Roman"/>
          <w:lang w:val="en-US"/>
        </w:rPr>
        <w:t xml:space="preserve"> </w:t>
      </w:r>
      <w:hyperlink r:id="rId12" w:history="1">
        <w:r w:rsidRPr="00B272F8">
          <w:rPr>
            <w:rStyle w:val="Hyperlink"/>
            <w:rFonts w:ascii="Times New Roman" w:hAnsi="Times New Roman" w:cs="Times New Roman"/>
            <w:lang w:val="en-US"/>
          </w:rPr>
          <w:t>https://sinergox.xm.com.co/Paginas/Home.aspx</w:t>
        </w:r>
      </w:hyperlink>
      <w:r w:rsidRPr="00B272F8">
        <w:rPr>
          <w:rFonts w:ascii="Times New Roman" w:hAnsi="Times New Roman" w:cs="Times New Roman"/>
          <w:lang w:val="en-US"/>
        </w:rPr>
        <w:t xml:space="preserve"> </w:t>
      </w:r>
    </w:p>
    <w:p w14:paraId="48CD693D" w14:textId="77777777" w:rsidR="00B272F8" w:rsidRPr="00B272F8" w:rsidRDefault="00B272F8" w:rsidP="00B272F8">
      <w:pPr>
        <w:pStyle w:val="FootnoteText"/>
        <w:rPr>
          <w:rFonts w:ascii="Times New Roman" w:hAnsi="Times New Roman" w:cs="Times New Roman"/>
          <w:lang w:val="en-US"/>
        </w:rPr>
      </w:pPr>
      <w:r w:rsidRPr="009A4A71">
        <w:rPr>
          <w:rStyle w:val="FootnoteReference"/>
          <w:rFonts w:ascii="Times New Roman" w:hAnsi="Times New Roman" w:cs="Times New Roman"/>
        </w:rPr>
        <w:footnoteRef/>
      </w:r>
      <w:r w:rsidRPr="00B272F8">
        <w:rPr>
          <w:rFonts w:ascii="Times New Roman" w:hAnsi="Times New Roman" w:cs="Times New Roman"/>
          <w:lang w:val="en-US"/>
        </w:rPr>
        <w:t xml:space="preserve"> </w:t>
      </w:r>
      <w:hyperlink r:id="rId13" w:history="1">
        <w:r w:rsidRPr="00B272F8">
          <w:rPr>
            <w:rStyle w:val="Hyperlink"/>
            <w:rFonts w:ascii="Times New Roman" w:hAnsi="Times New Roman" w:cs="Times New Roman"/>
            <w:lang w:val="en-US"/>
          </w:rPr>
          <w:t>https://www.eia.gov/dnav/ng/hist/rngwhhdm.htm</w:t>
        </w:r>
      </w:hyperlink>
      <w:r w:rsidRPr="00B272F8">
        <w:rPr>
          <w:rFonts w:ascii="Times New Roman" w:hAnsi="Times New Roman" w:cs="Times New Roman"/>
          <w:lang w:val="en-US"/>
        </w:rPr>
        <w:t xml:space="preserve"> </w:t>
      </w:r>
    </w:p>
    <w:p w14:paraId="587E617C" w14:textId="4649A51E" w:rsidR="00B272F8" w:rsidRDefault="00B272F8" w:rsidP="00B272F8">
      <w:pPr>
        <w:rPr>
          <w:rStyle w:val="Hyperlink"/>
          <w:rFonts w:ascii="Times New Roman" w:hAnsi="Times New Roman" w:cs="Times New Roman"/>
        </w:rPr>
      </w:pPr>
      <w:r w:rsidRPr="009A4A71">
        <w:rPr>
          <w:rStyle w:val="FootnoteReference"/>
          <w:rFonts w:ascii="Times New Roman" w:hAnsi="Times New Roman" w:cs="Times New Roman"/>
        </w:rPr>
        <w:footnoteRef/>
      </w:r>
      <w:r w:rsidRPr="009A4A71">
        <w:rPr>
          <w:rFonts w:ascii="Times New Roman" w:hAnsi="Times New Roman" w:cs="Times New Roman"/>
        </w:rPr>
        <w:t xml:space="preserve"> </w:t>
      </w:r>
      <w:hyperlink r:id="rId14" w:history="1">
        <w:r w:rsidRPr="009A4A71">
          <w:rPr>
            <w:rStyle w:val="Hyperlink"/>
            <w:rFonts w:ascii="Times New Roman" w:hAnsi="Times New Roman" w:cs="Times New Roman"/>
          </w:rPr>
          <w:t>https://origin.cpc.ncep.noaa.gov/products/analysis_monitoring/ensostuff/ONI_v5.php</w:t>
        </w:r>
      </w:hyperlink>
    </w:p>
    <w:p w14:paraId="12503895" w14:textId="2A9766F3" w:rsidR="00B272F8" w:rsidRDefault="00B272F8" w:rsidP="00B272F8">
      <w:pPr>
        <w:rPr>
          <w:rStyle w:val="Hyperlink"/>
          <w:rFonts w:ascii="Times New Roman" w:hAnsi="Times New Roman" w:cs="Times New Roman"/>
        </w:rPr>
      </w:pPr>
    </w:p>
    <w:p w14:paraId="0D55424F" w14:textId="1FD32B68" w:rsidR="00B272F8" w:rsidRDefault="00B272F8" w:rsidP="00B272F8">
      <w:pPr>
        <w:rPr>
          <w:rStyle w:val="Hyperlink"/>
          <w:rFonts w:ascii="Times New Roman" w:hAnsi="Times New Roman" w:cs="Times New Roman"/>
          <w:lang w:val="es-ES_tradnl"/>
        </w:rPr>
      </w:pPr>
    </w:p>
    <w:p w14:paraId="0334E856" w14:textId="14304487" w:rsidR="00B272F8" w:rsidRDefault="00B272F8" w:rsidP="00B272F8">
      <w:pPr>
        <w:rPr>
          <w:rStyle w:val="Hyperlink"/>
          <w:rFonts w:ascii="Times New Roman" w:hAnsi="Times New Roman" w:cs="Times New Roman"/>
          <w:color w:val="auto"/>
          <w:u w:val="none"/>
          <w:lang w:val="es-ES_tradnl"/>
        </w:rPr>
      </w:pPr>
      <w:r w:rsidRPr="00B272F8">
        <w:rPr>
          <w:rStyle w:val="Hyperlink"/>
          <w:rFonts w:ascii="Times New Roman" w:hAnsi="Times New Roman" w:cs="Times New Roman"/>
          <w:color w:val="auto"/>
          <w:u w:val="none"/>
          <w:lang w:val="es-ES_tradnl"/>
        </w:rPr>
        <w:t>Repos</w:t>
      </w:r>
      <w:r>
        <w:rPr>
          <w:rStyle w:val="Hyperlink"/>
          <w:rFonts w:ascii="Times New Roman" w:hAnsi="Times New Roman" w:cs="Times New Roman"/>
          <w:color w:val="auto"/>
          <w:u w:val="none"/>
          <w:lang w:val="es-ES_tradnl"/>
        </w:rPr>
        <w:t xml:space="preserve">itorio </w:t>
      </w:r>
      <w:proofErr w:type="spellStart"/>
      <w:r>
        <w:rPr>
          <w:rStyle w:val="Hyperlink"/>
          <w:rFonts w:ascii="Times New Roman" w:hAnsi="Times New Roman" w:cs="Times New Roman"/>
          <w:color w:val="auto"/>
          <w:u w:val="none"/>
          <w:lang w:val="es-ES_tradnl"/>
        </w:rPr>
        <w:t>Github</w:t>
      </w:r>
      <w:proofErr w:type="spellEnd"/>
    </w:p>
    <w:p w14:paraId="1AC1A020" w14:textId="11289E21" w:rsidR="00B272F8" w:rsidRDefault="00B272F8" w:rsidP="00B272F8">
      <w:pPr>
        <w:rPr>
          <w:rStyle w:val="Hyperlink"/>
          <w:rFonts w:ascii="Times New Roman" w:hAnsi="Times New Roman" w:cs="Times New Roman"/>
          <w:color w:val="auto"/>
          <w:u w:val="none"/>
          <w:lang w:val="es-ES_tradnl"/>
        </w:rPr>
      </w:pPr>
    </w:p>
    <w:p w14:paraId="5E471BCC" w14:textId="72EE7715" w:rsidR="00B272F8" w:rsidRPr="00B272F8" w:rsidRDefault="00B272F8" w:rsidP="00B272F8">
      <w:pPr>
        <w:jc w:val="center"/>
        <w:rPr>
          <w:i/>
          <w:iCs/>
          <w:lang w:val="es-ES_tradnl"/>
        </w:rPr>
      </w:pPr>
      <w:hyperlink r:id="rId15" w:history="1">
        <w:r w:rsidRPr="00B272F8">
          <w:rPr>
            <w:rStyle w:val="Hyperlink"/>
            <w:i/>
            <w:iCs/>
            <w:lang w:val="es-ES_tradnl"/>
          </w:rPr>
          <w:t>https://github.com/AndresT2022/ProyectoFinalG2</w:t>
        </w:r>
      </w:hyperlink>
    </w:p>
    <w:sectPr w:rsidR="00B272F8" w:rsidRPr="00B27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55F15"/>
    <w:multiLevelType w:val="hybridMultilevel"/>
    <w:tmpl w:val="61F212B4"/>
    <w:lvl w:ilvl="0" w:tplc="FCC4836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45C4D"/>
    <w:multiLevelType w:val="hybridMultilevel"/>
    <w:tmpl w:val="B46E5834"/>
    <w:lvl w:ilvl="0" w:tplc="74788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897354">
    <w:abstractNumId w:val="0"/>
  </w:num>
  <w:num w:numId="2" w16cid:durableId="163574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72"/>
    <w:rsid w:val="00023672"/>
    <w:rsid w:val="00060AEC"/>
    <w:rsid w:val="000A1700"/>
    <w:rsid w:val="00104E9A"/>
    <w:rsid w:val="00121429"/>
    <w:rsid w:val="00160C89"/>
    <w:rsid w:val="00194587"/>
    <w:rsid w:val="0032159D"/>
    <w:rsid w:val="00525C7A"/>
    <w:rsid w:val="00627734"/>
    <w:rsid w:val="007073E5"/>
    <w:rsid w:val="0073730D"/>
    <w:rsid w:val="007639FB"/>
    <w:rsid w:val="007F63D3"/>
    <w:rsid w:val="00867549"/>
    <w:rsid w:val="0089587F"/>
    <w:rsid w:val="009649DC"/>
    <w:rsid w:val="00A17D17"/>
    <w:rsid w:val="00A84F59"/>
    <w:rsid w:val="00AD3A48"/>
    <w:rsid w:val="00AF6264"/>
    <w:rsid w:val="00AF69BA"/>
    <w:rsid w:val="00B0428E"/>
    <w:rsid w:val="00B272F8"/>
    <w:rsid w:val="00B5252E"/>
    <w:rsid w:val="00C114DB"/>
    <w:rsid w:val="00CE4B59"/>
    <w:rsid w:val="00CF0C97"/>
    <w:rsid w:val="00D118AC"/>
    <w:rsid w:val="00D1742E"/>
    <w:rsid w:val="00D26741"/>
    <w:rsid w:val="00D54F13"/>
    <w:rsid w:val="00D96D02"/>
    <w:rsid w:val="00DD23C8"/>
    <w:rsid w:val="00DD4C98"/>
    <w:rsid w:val="00E056D6"/>
    <w:rsid w:val="00E06B25"/>
    <w:rsid w:val="00E45D27"/>
    <w:rsid w:val="00E677E6"/>
    <w:rsid w:val="00ED7EF6"/>
    <w:rsid w:val="00F47BD1"/>
    <w:rsid w:val="00FC4D32"/>
    <w:rsid w:val="00FD1B4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DC7"/>
  <w15:chartTrackingRefBased/>
  <w15:docId w15:val="{6120D137-2502-9F44-B64A-C7A0BA18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6D6"/>
    <w:pPr>
      <w:ind w:left="720"/>
      <w:contextualSpacing/>
    </w:pPr>
  </w:style>
  <w:style w:type="character" w:styleId="PlaceholderText">
    <w:name w:val="Placeholder Text"/>
    <w:basedOn w:val="DefaultParagraphFont"/>
    <w:uiPriority w:val="99"/>
    <w:semiHidden/>
    <w:rsid w:val="00CF0C97"/>
    <w:rPr>
      <w:color w:val="808080"/>
    </w:rPr>
  </w:style>
  <w:style w:type="paragraph" w:styleId="FootnoteText">
    <w:name w:val="footnote text"/>
    <w:basedOn w:val="Normal"/>
    <w:link w:val="FootnoteTextChar"/>
    <w:uiPriority w:val="99"/>
    <w:semiHidden/>
    <w:unhideWhenUsed/>
    <w:rsid w:val="00B272F8"/>
    <w:rPr>
      <w:sz w:val="20"/>
      <w:szCs w:val="20"/>
      <w:lang w:val="es-CO"/>
    </w:rPr>
  </w:style>
  <w:style w:type="character" w:customStyle="1" w:styleId="FootnoteTextChar">
    <w:name w:val="Footnote Text Char"/>
    <w:basedOn w:val="DefaultParagraphFont"/>
    <w:link w:val="FootnoteText"/>
    <w:uiPriority w:val="99"/>
    <w:semiHidden/>
    <w:rsid w:val="00B272F8"/>
    <w:rPr>
      <w:sz w:val="20"/>
      <w:szCs w:val="20"/>
      <w:lang w:val="es-CO"/>
    </w:rPr>
  </w:style>
  <w:style w:type="character" w:styleId="FootnoteReference">
    <w:name w:val="footnote reference"/>
    <w:basedOn w:val="DefaultParagraphFont"/>
    <w:uiPriority w:val="99"/>
    <w:semiHidden/>
    <w:unhideWhenUsed/>
    <w:rsid w:val="00B272F8"/>
    <w:rPr>
      <w:vertAlign w:val="superscript"/>
    </w:rPr>
  </w:style>
  <w:style w:type="character" w:styleId="Hyperlink">
    <w:name w:val="Hyperlink"/>
    <w:basedOn w:val="DefaultParagraphFont"/>
    <w:uiPriority w:val="99"/>
    <w:unhideWhenUsed/>
    <w:rsid w:val="00B272F8"/>
    <w:rPr>
      <w:color w:val="0563C1" w:themeColor="hyperlink"/>
      <w:u w:val="single"/>
    </w:rPr>
  </w:style>
  <w:style w:type="character" w:styleId="UnresolvedMention">
    <w:name w:val="Unresolved Mention"/>
    <w:basedOn w:val="DefaultParagraphFont"/>
    <w:uiPriority w:val="99"/>
    <w:semiHidden/>
    <w:unhideWhenUsed/>
    <w:rsid w:val="00B27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714">
      <w:bodyDiv w:val="1"/>
      <w:marLeft w:val="0"/>
      <w:marRight w:val="0"/>
      <w:marTop w:val="0"/>
      <w:marBottom w:val="0"/>
      <w:divBdr>
        <w:top w:val="none" w:sz="0" w:space="0" w:color="auto"/>
        <w:left w:val="none" w:sz="0" w:space="0" w:color="auto"/>
        <w:bottom w:val="none" w:sz="0" w:space="0" w:color="auto"/>
        <w:right w:val="none" w:sz="0" w:space="0" w:color="auto"/>
      </w:divBdr>
    </w:div>
    <w:div w:id="789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ia.gov/dnav/ng/hist/rngwhhdm.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inergox.xm.com.co/Paginas/Hom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ndresT2022/ProyectoFinalG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rigin.cpc.ncep.noaa.gov/products/analysis_monitoring/ensostuff/ONI_v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Serrano</dc:creator>
  <cp:keywords/>
  <dc:description/>
  <cp:lastModifiedBy>Ignacio Serrano</cp:lastModifiedBy>
  <cp:revision>2</cp:revision>
  <dcterms:created xsi:type="dcterms:W3CDTF">2022-07-31T22:54:00Z</dcterms:created>
  <dcterms:modified xsi:type="dcterms:W3CDTF">2022-08-03T04:27:00Z</dcterms:modified>
</cp:coreProperties>
</file>