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89A616" w14:textId="77777777" w:rsidR="007409D0" w:rsidRPr="00F95D8F" w:rsidRDefault="007409D0" w:rsidP="00BC1E4C">
      <w:pPr>
        <w:spacing w:after="0"/>
        <w:rPr>
          <w:rFonts w:ascii="Verdana" w:hAnsi="Verdana"/>
          <w:b/>
          <w:bCs/>
          <w:sz w:val="22"/>
          <w:szCs w:val="22"/>
        </w:rPr>
      </w:pPr>
      <w:r w:rsidRPr="00F95D8F">
        <w:rPr>
          <w:rFonts w:ascii="Verdana" w:hAnsi="Verdana"/>
          <w:b/>
          <w:bCs/>
          <w:sz w:val="22"/>
          <w:szCs w:val="22"/>
        </w:rPr>
        <w:t>COOPERATIVA DE TRANSPORTADORES DE BELEN DE UMBRIA</w:t>
      </w:r>
    </w:p>
    <w:p w14:paraId="4BA07CC6" w14:textId="6AD6D5D7" w:rsidR="00010D1D" w:rsidRPr="00F95D8F" w:rsidRDefault="00010D1D" w:rsidP="00BC1E4C">
      <w:pPr>
        <w:spacing w:after="0"/>
        <w:rPr>
          <w:sz w:val="22"/>
          <w:szCs w:val="22"/>
        </w:rPr>
      </w:pPr>
      <w:r w:rsidRPr="00F95D8F">
        <w:rPr>
          <w:sz w:val="22"/>
          <w:szCs w:val="22"/>
        </w:rPr>
        <w:t>ID FORMULARIO:  61</w:t>
      </w:r>
      <w:r w:rsidR="007C15C2" w:rsidRPr="00F95D8F">
        <w:rPr>
          <w:sz w:val="22"/>
          <w:szCs w:val="22"/>
        </w:rPr>
        <w:t>3</w:t>
      </w:r>
      <w:r w:rsidR="007409D0" w:rsidRPr="00F95D8F">
        <w:rPr>
          <w:sz w:val="22"/>
          <w:szCs w:val="22"/>
        </w:rPr>
        <w:t>7</w:t>
      </w:r>
    </w:p>
    <w:p w14:paraId="7DBEAA29" w14:textId="77777777" w:rsidR="00010D1D" w:rsidRPr="00F95D8F" w:rsidRDefault="00010D1D" w:rsidP="00BC1E4C">
      <w:pPr>
        <w:spacing w:after="0"/>
        <w:rPr>
          <w:sz w:val="22"/>
          <w:szCs w:val="22"/>
        </w:rPr>
      </w:pPr>
    </w:p>
    <w:p w14:paraId="1D0EB7F4" w14:textId="0BB10E78" w:rsidR="00010D1D" w:rsidRPr="00F95D8F" w:rsidRDefault="00010D1D" w:rsidP="00010D1D">
      <w:pPr>
        <w:spacing w:after="0"/>
        <w:jc w:val="center"/>
        <w:rPr>
          <w:b/>
          <w:bCs/>
          <w:sz w:val="22"/>
          <w:szCs w:val="22"/>
        </w:rPr>
      </w:pPr>
      <w:r w:rsidRPr="00F95D8F">
        <w:rPr>
          <w:b/>
          <w:bCs/>
          <w:sz w:val="22"/>
          <w:szCs w:val="22"/>
        </w:rPr>
        <w:t>RELACIÓN DE INCONSISTENCIAS PRESENTADAS EN FORMULARIO</w:t>
      </w:r>
    </w:p>
    <w:p w14:paraId="5B71EABC" w14:textId="572F69B1" w:rsidR="00010D1D" w:rsidRPr="00F95D8F" w:rsidRDefault="00010D1D" w:rsidP="00010D1D">
      <w:pPr>
        <w:spacing w:after="0"/>
        <w:jc w:val="center"/>
        <w:rPr>
          <w:sz w:val="22"/>
          <w:szCs w:val="22"/>
        </w:rPr>
      </w:pPr>
      <w:r w:rsidRPr="00F95D8F">
        <w:rPr>
          <w:sz w:val="22"/>
          <w:szCs w:val="22"/>
        </w:rPr>
        <w:t>(</w:t>
      </w:r>
      <w:r w:rsidRPr="00F95D8F">
        <w:rPr>
          <w:sz w:val="22"/>
          <w:szCs w:val="22"/>
          <w:u w:val="single"/>
        </w:rPr>
        <w:t>Favor devolver este documento con las respectivas observaciones</w:t>
      </w:r>
      <w:r w:rsidR="00E42F21" w:rsidRPr="00F95D8F">
        <w:rPr>
          <w:sz w:val="22"/>
          <w:szCs w:val="22"/>
          <w:u w:val="single"/>
        </w:rPr>
        <w:t>, después de haber corregido el archivo de excel</w:t>
      </w:r>
      <w:r w:rsidRPr="00F95D8F">
        <w:rPr>
          <w:sz w:val="22"/>
          <w:szCs w:val="22"/>
        </w:rPr>
        <w:t>)</w:t>
      </w:r>
    </w:p>
    <w:p w14:paraId="6D4A6D44" w14:textId="77777777" w:rsidR="00BC1E4C" w:rsidRPr="00F95D8F" w:rsidRDefault="00BC1E4C" w:rsidP="00BC1E4C">
      <w:pPr>
        <w:spacing w:after="0"/>
        <w:rPr>
          <w:sz w:val="22"/>
          <w:szCs w:val="22"/>
        </w:rPr>
      </w:pPr>
    </w:p>
    <w:p w14:paraId="74F5C572" w14:textId="42D69CC6" w:rsidR="00BC1E4C" w:rsidRPr="00F95D8F" w:rsidRDefault="00BE31FF" w:rsidP="00BC1E4C">
      <w:pPr>
        <w:spacing w:after="0"/>
        <w:rPr>
          <w:b/>
          <w:bCs/>
          <w:sz w:val="22"/>
          <w:szCs w:val="22"/>
        </w:rPr>
      </w:pPr>
      <w:r w:rsidRPr="00F95D8F">
        <w:rPr>
          <w:b/>
          <w:bCs/>
          <w:sz w:val="22"/>
          <w:szCs w:val="22"/>
        </w:rPr>
        <w:t>MODULO II - PERSONAL OCUPADO Y REMUNERACION</w:t>
      </w:r>
    </w:p>
    <w:p w14:paraId="710FE5BF" w14:textId="77777777" w:rsidR="000A77B9" w:rsidRPr="00F95D8F" w:rsidRDefault="000A77B9" w:rsidP="00BC1E4C">
      <w:pPr>
        <w:spacing w:after="0"/>
        <w:rPr>
          <w:b/>
          <w:bCs/>
          <w:sz w:val="22"/>
          <w:szCs w:val="22"/>
        </w:rPr>
      </w:pPr>
    </w:p>
    <w:p w14:paraId="2F51E0F6" w14:textId="5DD75F40" w:rsidR="00BC1E4C" w:rsidRPr="00F95D8F" w:rsidRDefault="00BC1E4C" w:rsidP="00BC1E4C">
      <w:pPr>
        <w:spacing w:after="0"/>
        <w:rPr>
          <w:b/>
          <w:bCs/>
          <w:sz w:val="22"/>
          <w:szCs w:val="22"/>
        </w:rPr>
      </w:pPr>
      <w:r w:rsidRPr="00F95D8F">
        <w:rPr>
          <w:b/>
          <w:bCs/>
          <w:sz w:val="22"/>
          <w:szCs w:val="22"/>
        </w:rPr>
        <w:t>3. SUELDOS Y SALARIOS DEL PERSONAL OCUPADO SEGÚN TIPO DE OCUPACION:</w:t>
      </w:r>
    </w:p>
    <w:p w14:paraId="160428A5" w14:textId="468573C2" w:rsidR="007409D0" w:rsidRPr="00F95D8F" w:rsidRDefault="007409D0" w:rsidP="00BC1E4C">
      <w:pPr>
        <w:spacing w:after="0"/>
        <w:rPr>
          <w:sz w:val="22"/>
          <w:szCs w:val="22"/>
        </w:rPr>
      </w:pPr>
      <w:r w:rsidRPr="00F95D8F">
        <w:rPr>
          <w:sz w:val="22"/>
          <w:szCs w:val="22"/>
        </w:rPr>
        <w:tab/>
        <w:t>a. Pago total por sueldos y salarios</w:t>
      </w:r>
    </w:p>
    <w:p w14:paraId="65FE2598" w14:textId="37B1384C" w:rsidR="007409D0" w:rsidRPr="00F95D8F" w:rsidRDefault="007409D0" w:rsidP="00BC1E4C">
      <w:pPr>
        <w:spacing w:after="0"/>
        <w:rPr>
          <w:sz w:val="22"/>
          <w:szCs w:val="22"/>
        </w:rPr>
      </w:pPr>
      <w:r w:rsidRPr="00F95D8F">
        <w:rPr>
          <w:sz w:val="22"/>
          <w:szCs w:val="22"/>
        </w:rPr>
        <w:tab/>
        <w:t xml:space="preserve">3.1 Personal aprendiz en etapa productiva: (Corregir o Justificar): </w:t>
      </w:r>
    </w:p>
    <w:p w14:paraId="428E1063" w14:textId="788D05FF" w:rsidR="007409D0" w:rsidRDefault="007409D0" w:rsidP="007409D0">
      <w:pPr>
        <w:spacing w:after="0"/>
        <w:ind w:left="1416"/>
        <w:rPr>
          <w:sz w:val="22"/>
          <w:szCs w:val="22"/>
        </w:rPr>
      </w:pPr>
      <w:r w:rsidRPr="00F95D8F">
        <w:rPr>
          <w:sz w:val="22"/>
          <w:szCs w:val="22"/>
        </w:rPr>
        <w:t>justifique, ¿por qué el salario per cápita del personal aprendiz en etapa práctica está por debajo del 75% de un salario mínimo</w:t>
      </w:r>
    </w:p>
    <w:p w14:paraId="5E117430" w14:textId="5FD035E8" w:rsidR="007C4689" w:rsidRPr="00F95D8F" w:rsidRDefault="007C4689" w:rsidP="00D20EA7">
      <w:pPr>
        <w:shd w:val="clear" w:color="auto" w:fill="83CAEB" w:themeFill="accent1" w:themeFillTint="66"/>
        <w:spacing w:after="0"/>
        <w:rPr>
          <w:sz w:val="22"/>
          <w:szCs w:val="22"/>
        </w:rPr>
      </w:pPr>
      <w:r>
        <w:rPr>
          <w:sz w:val="22"/>
          <w:szCs w:val="22"/>
        </w:rPr>
        <w:t>Los aprendices están en etapa lectiva, por lo tanto, se liquida 50% del salario mínimo.</w:t>
      </w:r>
    </w:p>
    <w:p w14:paraId="3F0EC95A" w14:textId="77777777" w:rsidR="007409D0" w:rsidRPr="00F95D8F" w:rsidRDefault="007409D0" w:rsidP="00BC1E4C">
      <w:pPr>
        <w:spacing w:after="0"/>
        <w:rPr>
          <w:sz w:val="22"/>
          <w:szCs w:val="22"/>
        </w:rPr>
      </w:pPr>
    </w:p>
    <w:p w14:paraId="78A01A69" w14:textId="77777777" w:rsidR="00BC1E4C" w:rsidRPr="00F95D8F" w:rsidRDefault="00BC1E4C" w:rsidP="00BC1E4C">
      <w:pPr>
        <w:spacing w:after="0"/>
        <w:rPr>
          <w:b/>
          <w:bCs/>
          <w:sz w:val="22"/>
          <w:szCs w:val="22"/>
        </w:rPr>
      </w:pPr>
      <w:r w:rsidRPr="00F95D8F">
        <w:rPr>
          <w:b/>
          <w:bCs/>
          <w:sz w:val="22"/>
          <w:szCs w:val="22"/>
        </w:rPr>
        <w:t>1. Personal permanente (contrato termino indefinido)</w:t>
      </w:r>
    </w:p>
    <w:p w14:paraId="7C3AD9BB" w14:textId="55EACB85" w:rsidR="00BC1E4C" w:rsidRPr="00F95D8F" w:rsidRDefault="00BC1E4C" w:rsidP="00D26B67">
      <w:pPr>
        <w:spacing w:after="0"/>
        <w:ind w:left="708"/>
        <w:rPr>
          <w:sz w:val="22"/>
          <w:szCs w:val="22"/>
        </w:rPr>
      </w:pPr>
      <w:r w:rsidRPr="00F95D8F">
        <w:rPr>
          <w:b/>
          <w:bCs/>
          <w:sz w:val="22"/>
          <w:szCs w:val="22"/>
        </w:rPr>
        <w:t>b. pagos realizados a SALUD</w:t>
      </w:r>
      <w:r w:rsidR="00775572" w:rsidRPr="00F95D8F">
        <w:rPr>
          <w:b/>
          <w:bCs/>
          <w:sz w:val="22"/>
          <w:szCs w:val="22"/>
        </w:rPr>
        <w:t>: (</w:t>
      </w:r>
      <w:r w:rsidRPr="00F95D8F">
        <w:rPr>
          <w:b/>
          <w:bCs/>
          <w:sz w:val="22"/>
          <w:szCs w:val="22"/>
        </w:rPr>
        <w:t>Corregir o Justificar</w:t>
      </w:r>
      <w:r w:rsidR="005D32E8" w:rsidRPr="00F95D8F">
        <w:rPr>
          <w:b/>
          <w:bCs/>
          <w:sz w:val="22"/>
          <w:szCs w:val="22"/>
        </w:rPr>
        <w:t>):</w:t>
      </w:r>
      <w:r w:rsidR="007409D0" w:rsidRPr="00F95D8F">
        <w:rPr>
          <w:b/>
          <w:bCs/>
          <w:sz w:val="22"/>
          <w:szCs w:val="22"/>
        </w:rPr>
        <w:t xml:space="preserve"> </w:t>
      </w:r>
      <w:r w:rsidR="007409D0" w:rsidRPr="00F95D8F">
        <w:rPr>
          <w:sz w:val="22"/>
          <w:szCs w:val="22"/>
        </w:rPr>
        <w:t>justifique, ¿por qué Las cotizaciones al sistema de salud del personal permanente es menor al 8,5% del salario?</w:t>
      </w:r>
    </w:p>
    <w:p w14:paraId="0EABC6CB" w14:textId="77777777" w:rsidR="00082D38" w:rsidRPr="00F95D8F" w:rsidRDefault="00BC1E4C" w:rsidP="00D26B67">
      <w:pPr>
        <w:spacing w:after="0"/>
        <w:ind w:left="708"/>
        <w:rPr>
          <w:sz w:val="22"/>
          <w:szCs w:val="22"/>
        </w:rPr>
      </w:pPr>
      <w:r w:rsidRPr="00F95D8F">
        <w:rPr>
          <w:b/>
          <w:bCs/>
          <w:sz w:val="22"/>
          <w:szCs w:val="22"/>
        </w:rPr>
        <w:t xml:space="preserve">c. Pagos realizados a PENSION: (Corregir o Justificar) </w:t>
      </w:r>
      <w:r w:rsidR="00082D38" w:rsidRPr="00F95D8F">
        <w:rPr>
          <w:sz w:val="22"/>
          <w:szCs w:val="22"/>
        </w:rPr>
        <w:t>justifique, ¿por qué las cotizaciones al sistema de pensiones del personal permanente no corresponden al mínimo del 12%?</w:t>
      </w:r>
    </w:p>
    <w:p w14:paraId="25F2EC7E" w14:textId="0DB0AF88" w:rsidR="00082D38" w:rsidRDefault="00082D38" w:rsidP="00D26B67">
      <w:pPr>
        <w:spacing w:after="0"/>
        <w:ind w:left="708"/>
        <w:rPr>
          <w:sz w:val="22"/>
          <w:szCs w:val="22"/>
        </w:rPr>
      </w:pPr>
      <w:r w:rsidRPr="00F95D8F">
        <w:rPr>
          <w:sz w:val="22"/>
          <w:szCs w:val="22"/>
        </w:rPr>
        <w:t xml:space="preserve"> </w:t>
      </w:r>
      <w:r w:rsidR="00BA0760" w:rsidRPr="00F95D8F">
        <w:rPr>
          <w:b/>
          <w:bCs/>
          <w:sz w:val="22"/>
          <w:szCs w:val="22"/>
        </w:rPr>
        <w:t xml:space="preserve">e. Pagos realizados a Caja Compensación: (Corregir o Justificar) </w:t>
      </w:r>
      <w:r w:rsidRPr="00F95D8F">
        <w:rPr>
          <w:sz w:val="22"/>
          <w:szCs w:val="22"/>
        </w:rPr>
        <w:t>justifique, ¿por qué los pagos realizados a Caja de Compensación del personal permanente corresponden al mínimo del 4%.?</w:t>
      </w:r>
    </w:p>
    <w:p w14:paraId="7E0A219F" w14:textId="2436524F" w:rsidR="006754C8" w:rsidRPr="006754C8" w:rsidRDefault="006754C8" w:rsidP="006754C8">
      <w:pPr>
        <w:shd w:val="clear" w:color="auto" w:fill="83CAEB" w:themeFill="accent1" w:themeFillTint="66"/>
        <w:spacing w:after="0"/>
        <w:ind w:left="708"/>
        <w:rPr>
          <w:sz w:val="22"/>
          <w:szCs w:val="22"/>
        </w:rPr>
      </w:pPr>
      <w:r>
        <w:rPr>
          <w:sz w:val="22"/>
          <w:szCs w:val="22"/>
        </w:rPr>
        <w:t>Porque este es el valor que se liquida, la exoneración de aportes es sólo para aportes al ICBF y SENA</w:t>
      </w:r>
    </w:p>
    <w:p w14:paraId="37FC0A9C" w14:textId="33BAB62D" w:rsidR="00BC1E4C" w:rsidRDefault="00BC1E4C" w:rsidP="00D26B67">
      <w:pPr>
        <w:spacing w:after="0"/>
        <w:ind w:left="708"/>
        <w:rPr>
          <w:sz w:val="22"/>
          <w:szCs w:val="22"/>
        </w:rPr>
      </w:pPr>
      <w:r w:rsidRPr="00F95D8F">
        <w:rPr>
          <w:b/>
          <w:bCs/>
          <w:sz w:val="22"/>
          <w:szCs w:val="22"/>
        </w:rPr>
        <w:t>f. Pagos realizados a SENA e ICBF: (Corregir o Justificar)</w:t>
      </w:r>
      <w:r w:rsidRPr="00F95D8F">
        <w:rPr>
          <w:sz w:val="22"/>
          <w:szCs w:val="22"/>
        </w:rPr>
        <w:t xml:space="preserve"> </w:t>
      </w:r>
      <w:r w:rsidR="007C15C2" w:rsidRPr="00F95D8F">
        <w:rPr>
          <w:sz w:val="22"/>
          <w:szCs w:val="22"/>
        </w:rPr>
        <w:t>por qué</w:t>
      </w:r>
      <w:r w:rsidRPr="00F95D8F">
        <w:rPr>
          <w:sz w:val="22"/>
          <w:szCs w:val="22"/>
        </w:rPr>
        <w:t xml:space="preserve"> </w:t>
      </w:r>
      <w:r w:rsidR="007C15C2" w:rsidRPr="00F95D8F">
        <w:rPr>
          <w:sz w:val="22"/>
          <w:szCs w:val="22"/>
        </w:rPr>
        <w:t xml:space="preserve">no </w:t>
      </w:r>
      <w:r w:rsidRPr="00F95D8F">
        <w:rPr>
          <w:sz w:val="22"/>
          <w:szCs w:val="22"/>
        </w:rPr>
        <w:t xml:space="preserve">relaciona pagos en este </w:t>
      </w:r>
      <w:r w:rsidR="00686B9E" w:rsidRPr="00F95D8F">
        <w:rPr>
          <w:sz w:val="22"/>
          <w:szCs w:val="22"/>
        </w:rPr>
        <w:t>ítem</w:t>
      </w:r>
      <w:r w:rsidR="00082D38" w:rsidRPr="00F95D8F">
        <w:rPr>
          <w:sz w:val="22"/>
          <w:szCs w:val="22"/>
        </w:rPr>
        <w:t>?</w:t>
      </w:r>
    </w:p>
    <w:p w14:paraId="6FFEDF24" w14:textId="77777777" w:rsidR="00D20EA7" w:rsidRDefault="00D20EA7" w:rsidP="00D26B67">
      <w:pPr>
        <w:spacing w:after="0"/>
        <w:ind w:left="708"/>
        <w:rPr>
          <w:sz w:val="22"/>
          <w:szCs w:val="22"/>
        </w:rPr>
      </w:pPr>
    </w:p>
    <w:p w14:paraId="6A8088E8" w14:textId="0CC6FA8B" w:rsidR="00D20EA7" w:rsidRPr="00D20EA7" w:rsidRDefault="00D20EA7" w:rsidP="00D20EA7">
      <w:pPr>
        <w:spacing w:after="0"/>
        <w:jc w:val="both"/>
        <w:rPr>
          <w:sz w:val="22"/>
          <w:szCs w:val="22"/>
        </w:rPr>
      </w:pPr>
      <w:r w:rsidRPr="00D20EA7">
        <w:rPr>
          <w:sz w:val="22"/>
          <w:szCs w:val="22"/>
        </w:rPr>
        <w:t>De acuerdo con el Estatuto Tributario en el artículo 114-1, la exoneración aplica para los colaboradores que devenguen menos de 10 salarios mínimos legales vigentes.  </w:t>
      </w:r>
      <w:r>
        <w:rPr>
          <w:sz w:val="22"/>
          <w:szCs w:val="22"/>
        </w:rPr>
        <w:t>Todos los colaboradores vinculados a la cooperativa devengan menos de 10 salarios mínimos mensuales (Año 2023 $11.600.000)</w:t>
      </w:r>
    </w:p>
    <w:p w14:paraId="2536F2E8" w14:textId="77777777" w:rsidR="00D20EA7" w:rsidRDefault="00D20EA7" w:rsidP="00D20EA7">
      <w:pPr>
        <w:spacing w:after="0"/>
        <w:rPr>
          <w:b/>
          <w:bCs/>
          <w:sz w:val="22"/>
          <w:szCs w:val="22"/>
        </w:rPr>
      </w:pPr>
    </w:p>
    <w:p w14:paraId="7A2DAD3A" w14:textId="77777777" w:rsidR="00D20EA7" w:rsidRPr="00D20EA7" w:rsidRDefault="00D20EA7" w:rsidP="00D20EA7">
      <w:pPr>
        <w:spacing w:after="0"/>
        <w:rPr>
          <w:b/>
          <w:bCs/>
          <w:sz w:val="22"/>
          <w:szCs w:val="22"/>
        </w:rPr>
      </w:pPr>
      <w:r w:rsidRPr="00D20EA7">
        <w:rPr>
          <w:b/>
          <w:bCs/>
          <w:sz w:val="22"/>
          <w:szCs w:val="22"/>
        </w:rPr>
        <w:t>« </w:t>
      </w:r>
      <w:hyperlink r:id="rId5" w:history="1">
        <w:r w:rsidRPr="00D20EA7">
          <w:rPr>
            <w:rStyle w:val="Hipervnculo"/>
            <w:b/>
            <w:bCs/>
            <w:sz w:val="22"/>
            <w:szCs w:val="22"/>
          </w:rPr>
          <w:t>Art. 114. Deducción de aportes.</w:t>
        </w:r>
      </w:hyperlink>
    </w:p>
    <w:p w14:paraId="455B737F" w14:textId="77777777" w:rsidR="00D20EA7" w:rsidRPr="00D20EA7" w:rsidRDefault="00D20EA7" w:rsidP="00D20EA7">
      <w:pPr>
        <w:spacing w:after="0"/>
        <w:rPr>
          <w:b/>
          <w:bCs/>
          <w:sz w:val="22"/>
          <w:szCs w:val="22"/>
        </w:rPr>
      </w:pPr>
      <w:hyperlink r:id="rId6" w:history="1">
        <w:r w:rsidRPr="00D20EA7">
          <w:rPr>
            <w:rStyle w:val="Hipervnculo"/>
            <w:b/>
            <w:bCs/>
            <w:sz w:val="22"/>
            <w:szCs w:val="22"/>
          </w:rPr>
          <w:t>Título I - Renta</w:t>
        </w:r>
      </w:hyperlink>
    </w:p>
    <w:p w14:paraId="606A987D" w14:textId="77777777" w:rsidR="00D20EA7" w:rsidRPr="00D20EA7" w:rsidRDefault="00D20EA7" w:rsidP="00D20EA7">
      <w:pPr>
        <w:spacing w:after="0"/>
        <w:rPr>
          <w:b/>
          <w:bCs/>
          <w:sz w:val="22"/>
          <w:szCs w:val="22"/>
        </w:rPr>
      </w:pPr>
      <w:hyperlink r:id="rId7" w:history="1">
        <w:r w:rsidRPr="00D20EA7">
          <w:rPr>
            <w:rStyle w:val="Hipervnculo"/>
            <w:b/>
            <w:bCs/>
            <w:sz w:val="22"/>
            <w:szCs w:val="22"/>
          </w:rPr>
          <w:t>114 - 1. Exoneración de aportes.</w:t>
        </w:r>
      </w:hyperlink>
    </w:p>
    <w:p w14:paraId="6D2840C5" w14:textId="77777777" w:rsidR="00D20EA7" w:rsidRPr="00D20EA7" w:rsidRDefault="00D20EA7" w:rsidP="00D20EA7">
      <w:pPr>
        <w:spacing w:after="0"/>
        <w:jc w:val="both"/>
        <w:rPr>
          <w:b/>
          <w:bCs/>
          <w:i/>
          <w:iCs/>
          <w:sz w:val="22"/>
          <w:szCs w:val="22"/>
        </w:rPr>
      </w:pPr>
      <w:r w:rsidRPr="00D20EA7">
        <w:rPr>
          <w:sz w:val="22"/>
          <w:szCs w:val="22"/>
        </w:rPr>
        <w:t>* -Adicionado- </w:t>
      </w:r>
      <w:r w:rsidRPr="00D20EA7">
        <w:rPr>
          <w:b/>
          <w:bCs/>
          <w:i/>
          <w:iCs/>
          <w:sz w:val="22"/>
          <w:szCs w:val="22"/>
        </w:rPr>
        <w:t>Estarán exoneradas del pago de los aportes parafiscales a favor del Servicio Nacional del Aprendizaje (SENA), del Instituto Colombiano de Bienestar Familiar (ICBF) y las cotizaciones al Régimen Contributivo de Salud, las sociedades y personas jurídicas y asimiladas contribuyentes declarantes del impuesto sobre la renta y complementarios, correspondientes a los trabajadores que devenguen, individualmente considerados, menos de diez (10) salarios mínimos mensuales legales vigentes.</w:t>
      </w:r>
    </w:p>
    <w:p w14:paraId="1FA5DAFB" w14:textId="77777777" w:rsidR="00D20EA7" w:rsidRPr="00D20EA7" w:rsidRDefault="00D20EA7" w:rsidP="00D20EA7">
      <w:pPr>
        <w:spacing w:after="0"/>
        <w:jc w:val="both"/>
        <w:rPr>
          <w:sz w:val="22"/>
          <w:szCs w:val="22"/>
        </w:rPr>
      </w:pPr>
      <w:r w:rsidRPr="00D20EA7">
        <w:rPr>
          <w:sz w:val="22"/>
          <w:szCs w:val="22"/>
        </w:rPr>
        <w:t xml:space="preserve">PARÁGRAFO 1. Los empleadores de trabajadores que devenguen diez (10) salarios mínimos legales mensuales vigentes o más, sean o no sujetos pasivos del Impuesto sobre la Renta y Complementarios </w:t>
      </w:r>
      <w:r w:rsidRPr="00D20EA7">
        <w:rPr>
          <w:sz w:val="22"/>
          <w:szCs w:val="22"/>
        </w:rPr>
        <w:lastRenderedPageBreak/>
        <w:t>seguirán obligados a realizar los aportes parafiscales y las cotizaciones de que tratan los artículos 202 y 204 de la Ley 100 de 1993 y los pertinentes de la Ley 1122 de 2007, el artículo 70 de la Ley 21 de 1982, los artículos 2° y 3° de la Ley 27 de 1974 y el artículo 1° de la Ley 89 de 1988, y de acuerdo con los requisitos y condiciones establecidos en las normas aplicables.</w:t>
      </w:r>
    </w:p>
    <w:p w14:paraId="38CE9159" w14:textId="1937E1AD" w:rsidR="00D20EA7" w:rsidRPr="00D20EA7" w:rsidRDefault="00D20EA7" w:rsidP="00D20EA7">
      <w:pPr>
        <w:spacing w:after="0"/>
        <w:jc w:val="both"/>
        <w:rPr>
          <w:sz w:val="22"/>
          <w:szCs w:val="22"/>
        </w:rPr>
      </w:pPr>
      <w:r w:rsidRPr="00D20EA7">
        <w:rPr>
          <w:sz w:val="22"/>
          <w:szCs w:val="22"/>
        </w:rPr>
        <w:t xml:space="preserve">-Modificado. PAR 2. Las entidades que deben realizar el proceso de </w:t>
      </w:r>
      <w:r w:rsidRPr="00D20EA7">
        <w:rPr>
          <w:sz w:val="22"/>
          <w:szCs w:val="22"/>
        </w:rPr>
        <w:t>calificación</w:t>
      </w:r>
      <w:r w:rsidRPr="00D20EA7">
        <w:rPr>
          <w:sz w:val="22"/>
          <w:szCs w:val="22"/>
        </w:rPr>
        <w:t xml:space="preserve"> de que trata el inciso segundo del </w:t>
      </w:r>
      <w:r w:rsidRPr="00D20EA7">
        <w:rPr>
          <w:sz w:val="22"/>
          <w:szCs w:val="22"/>
        </w:rPr>
        <w:t>artículo</w:t>
      </w:r>
      <w:r w:rsidRPr="00D20EA7">
        <w:rPr>
          <w:sz w:val="22"/>
          <w:szCs w:val="22"/>
        </w:rPr>
        <w:t xml:space="preserve"> 19 del Estatuto Tributario, para ser admitidas como contribuyentes del </w:t>
      </w:r>
      <w:r w:rsidRPr="00D20EA7">
        <w:rPr>
          <w:sz w:val="22"/>
          <w:szCs w:val="22"/>
        </w:rPr>
        <w:t>régimen</w:t>
      </w:r>
      <w:r w:rsidRPr="00D20EA7">
        <w:rPr>
          <w:sz w:val="22"/>
          <w:szCs w:val="22"/>
        </w:rPr>
        <w:t xml:space="preserve"> tributario especial, </w:t>
      </w:r>
      <w:r w:rsidRPr="00D20EA7">
        <w:rPr>
          <w:sz w:val="22"/>
          <w:szCs w:val="22"/>
        </w:rPr>
        <w:t>estarán</w:t>
      </w:r>
      <w:r w:rsidRPr="00D20EA7">
        <w:rPr>
          <w:sz w:val="22"/>
          <w:szCs w:val="22"/>
        </w:rPr>
        <w:t xml:space="preserve"> obligadas a realizar los aportes parafiscales y las cotizaciones de que tratan los </w:t>
      </w:r>
      <w:r w:rsidRPr="00D20EA7">
        <w:rPr>
          <w:sz w:val="22"/>
          <w:szCs w:val="22"/>
        </w:rPr>
        <w:t>artículos</w:t>
      </w:r>
      <w:r w:rsidRPr="00D20EA7">
        <w:rPr>
          <w:sz w:val="22"/>
          <w:szCs w:val="22"/>
        </w:rPr>
        <w:t xml:space="preserve"> 202 y 204 de la Ley 100 de 1993 y las pertinentes de la Ley 1122 de 2007, el </w:t>
      </w:r>
      <w:r w:rsidRPr="00D20EA7">
        <w:rPr>
          <w:sz w:val="22"/>
          <w:szCs w:val="22"/>
        </w:rPr>
        <w:t>artículo</w:t>
      </w:r>
      <w:r w:rsidRPr="00D20EA7">
        <w:rPr>
          <w:sz w:val="22"/>
          <w:szCs w:val="22"/>
        </w:rPr>
        <w:t xml:space="preserve"> 7° de la Ley 21 de 1982, los </w:t>
      </w:r>
      <w:r w:rsidRPr="00D20EA7">
        <w:rPr>
          <w:sz w:val="22"/>
          <w:szCs w:val="22"/>
        </w:rPr>
        <w:t>artículos</w:t>
      </w:r>
      <w:r w:rsidRPr="00D20EA7">
        <w:rPr>
          <w:sz w:val="22"/>
          <w:szCs w:val="22"/>
        </w:rPr>
        <w:t xml:space="preserve"> 2° y 3° de la Ley 27 de 1974 y el </w:t>
      </w:r>
      <w:r w:rsidRPr="00D20EA7">
        <w:rPr>
          <w:sz w:val="22"/>
          <w:szCs w:val="22"/>
        </w:rPr>
        <w:t>artículo</w:t>
      </w:r>
      <w:r w:rsidRPr="00D20EA7">
        <w:rPr>
          <w:sz w:val="22"/>
          <w:szCs w:val="22"/>
        </w:rPr>
        <w:t xml:space="preserve"> 1° de la Ley 89 de 1988, y de acuerdo con los requisitos y condiciones establecidos en las normas aplicables.</w:t>
      </w:r>
    </w:p>
    <w:p w14:paraId="67AAC5B7" w14:textId="5F743A8F" w:rsidR="00D20EA7" w:rsidRPr="00D20EA7" w:rsidRDefault="00D20EA7" w:rsidP="00D20EA7">
      <w:pPr>
        <w:spacing w:after="0"/>
        <w:jc w:val="both"/>
        <w:rPr>
          <w:sz w:val="22"/>
          <w:szCs w:val="22"/>
        </w:rPr>
      </w:pPr>
      <w:r w:rsidRPr="00D20EA7">
        <w:rPr>
          <w:sz w:val="22"/>
          <w:szCs w:val="22"/>
        </w:rPr>
        <w:t>** -Adicionado. Las entidades de que trata el artículo 19-4 del Estatuto Tributario conservan el derecho a la exoneración de que trata este artículo.</w:t>
      </w:r>
      <w:r w:rsidR="00373795">
        <w:rPr>
          <w:sz w:val="22"/>
          <w:szCs w:val="22"/>
        </w:rPr>
        <w:t xml:space="preserve"> (Régimen tributario Especial)</w:t>
      </w:r>
    </w:p>
    <w:p w14:paraId="62F99372" w14:textId="77777777" w:rsidR="00D26B67" w:rsidRPr="00F95D8F" w:rsidRDefault="00D26B67" w:rsidP="00D26B67">
      <w:pPr>
        <w:spacing w:after="0"/>
        <w:ind w:left="708"/>
        <w:rPr>
          <w:sz w:val="22"/>
          <w:szCs w:val="22"/>
        </w:rPr>
      </w:pPr>
    </w:p>
    <w:p w14:paraId="7665C97B" w14:textId="3DD24CC5" w:rsidR="003530F2" w:rsidRPr="00F95D8F" w:rsidRDefault="003530F2" w:rsidP="00BE31FF">
      <w:pPr>
        <w:spacing w:after="0"/>
        <w:rPr>
          <w:b/>
          <w:bCs/>
          <w:sz w:val="22"/>
          <w:szCs w:val="22"/>
        </w:rPr>
      </w:pPr>
      <w:r w:rsidRPr="00F95D8F">
        <w:rPr>
          <w:b/>
          <w:bCs/>
          <w:sz w:val="22"/>
          <w:szCs w:val="22"/>
        </w:rPr>
        <w:t xml:space="preserve">MODULO </w:t>
      </w:r>
      <w:r w:rsidR="00775572" w:rsidRPr="00F95D8F">
        <w:rPr>
          <w:b/>
          <w:bCs/>
          <w:sz w:val="22"/>
          <w:szCs w:val="22"/>
        </w:rPr>
        <w:t>IV:</w:t>
      </w:r>
      <w:r w:rsidRPr="00F95D8F">
        <w:rPr>
          <w:b/>
          <w:bCs/>
          <w:sz w:val="22"/>
          <w:szCs w:val="22"/>
        </w:rPr>
        <w:t xml:space="preserve"> INGRESOS</w:t>
      </w:r>
    </w:p>
    <w:p w14:paraId="7F8A9F31" w14:textId="610C5523" w:rsidR="003530F2" w:rsidRDefault="00A97374" w:rsidP="00BE31FF">
      <w:pPr>
        <w:spacing w:after="0"/>
        <w:rPr>
          <w:sz w:val="22"/>
          <w:szCs w:val="22"/>
        </w:rPr>
      </w:pPr>
      <w:r w:rsidRPr="00F95D8F">
        <w:rPr>
          <w:b/>
          <w:bCs/>
          <w:sz w:val="22"/>
          <w:szCs w:val="22"/>
        </w:rPr>
        <w:t>2. INGRESOS CAUSADOS EN EL AÑO, DISTINTOS A LA PRESTACION DEL SERVICIO DE TRANSPORTE</w:t>
      </w:r>
      <w:r w:rsidR="003530F2" w:rsidRPr="00F95D8F">
        <w:rPr>
          <w:b/>
          <w:bCs/>
          <w:sz w:val="22"/>
          <w:szCs w:val="22"/>
        </w:rPr>
        <w:t>: (Justifique o corrija)</w:t>
      </w:r>
      <w:r w:rsidR="003530F2" w:rsidRPr="00F95D8F">
        <w:rPr>
          <w:sz w:val="22"/>
          <w:szCs w:val="22"/>
        </w:rPr>
        <w:t xml:space="preserve">, porque los ingresos causados, distintos a la prestación del servicio, son mayores que los </w:t>
      </w:r>
      <w:r w:rsidR="003530F2" w:rsidRPr="00F95D8F">
        <w:rPr>
          <w:b/>
          <w:bCs/>
          <w:sz w:val="22"/>
          <w:szCs w:val="22"/>
        </w:rPr>
        <w:t>ingresos causados en el año por la modalidad de transporte?</w:t>
      </w:r>
      <w:r w:rsidRPr="00F95D8F">
        <w:rPr>
          <w:b/>
          <w:bCs/>
          <w:sz w:val="22"/>
          <w:szCs w:val="22"/>
        </w:rPr>
        <w:t xml:space="preserve"> </w:t>
      </w:r>
      <w:r w:rsidRPr="00F95D8F">
        <w:rPr>
          <w:sz w:val="22"/>
          <w:szCs w:val="22"/>
        </w:rPr>
        <w:t>(Recuerde que</w:t>
      </w:r>
      <w:r w:rsidRPr="00F95D8F">
        <w:rPr>
          <w:b/>
          <w:bCs/>
          <w:sz w:val="22"/>
          <w:szCs w:val="22"/>
        </w:rPr>
        <w:t xml:space="preserve"> </w:t>
      </w:r>
      <w:r w:rsidRPr="00F95D8F">
        <w:rPr>
          <w:sz w:val="22"/>
          <w:szCs w:val="22"/>
        </w:rPr>
        <w:t>solamente debe relacionar los valores de la actividad principal)</w:t>
      </w:r>
      <w:r w:rsidR="007C4689">
        <w:rPr>
          <w:sz w:val="22"/>
          <w:szCs w:val="22"/>
        </w:rPr>
        <w:t xml:space="preserve">. </w:t>
      </w:r>
    </w:p>
    <w:p w14:paraId="5A9A5867" w14:textId="77777777" w:rsidR="007C4689" w:rsidRDefault="007C4689" w:rsidP="00BE31FF">
      <w:pPr>
        <w:spacing w:after="0"/>
        <w:rPr>
          <w:sz w:val="22"/>
          <w:szCs w:val="22"/>
        </w:rPr>
      </w:pPr>
    </w:p>
    <w:p w14:paraId="46764650" w14:textId="0E85091D" w:rsidR="007C4689" w:rsidRPr="00F95D8F" w:rsidRDefault="007C4689" w:rsidP="00F00578">
      <w:pPr>
        <w:shd w:val="clear" w:color="auto" w:fill="83CAEB" w:themeFill="accent1" w:themeFillTint="66"/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La actividad principal de la cooperativa es el transporte, como otra unidad de negocio tiene la estación de servicio y genera INGRESOS DISTINTOS AL SERVICIO DE TRANSPORTE, en el formulario solicita:  </w:t>
      </w:r>
      <w:r w:rsidRPr="007C4689">
        <w:rPr>
          <w:b/>
          <w:bCs/>
          <w:i/>
          <w:iCs/>
          <w:sz w:val="22"/>
          <w:szCs w:val="22"/>
        </w:rPr>
        <w:t>2. INGRESOS CAUSADOS EN EL AÑO DISTINTOS A LA PRESTACIÓN DEL SERVICIO DE TRANSPORT</w:t>
      </w:r>
      <w:r>
        <w:rPr>
          <w:b/>
          <w:bCs/>
          <w:i/>
          <w:iCs/>
          <w:sz w:val="22"/>
          <w:szCs w:val="22"/>
        </w:rPr>
        <w:t>E,</w:t>
      </w:r>
      <w:r>
        <w:rPr>
          <w:sz w:val="22"/>
          <w:szCs w:val="22"/>
        </w:rPr>
        <w:t xml:space="preserve"> de acuerdo a nuestros estados financieros esa es la información que tenemos de venta de combustibles y lubricantes, que es la segunda actividad económica de la cooperativa. Se generan ingresos superiores porque en el municipio sólo hay dos estaciones de servicio.</w:t>
      </w:r>
    </w:p>
    <w:p w14:paraId="1D6BE9E5" w14:textId="77777777" w:rsidR="003530F2" w:rsidRPr="00F95D8F" w:rsidRDefault="003530F2" w:rsidP="00BE31FF">
      <w:pPr>
        <w:spacing w:after="0"/>
        <w:rPr>
          <w:b/>
          <w:bCs/>
          <w:sz w:val="22"/>
          <w:szCs w:val="22"/>
        </w:rPr>
      </w:pPr>
    </w:p>
    <w:p w14:paraId="12AB8A1F" w14:textId="235D8F1F" w:rsidR="003530F2" w:rsidRPr="00F95D8F" w:rsidRDefault="003530F2" w:rsidP="00BE31FF">
      <w:pPr>
        <w:spacing w:after="0"/>
        <w:rPr>
          <w:b/>
          <w:bCs/>
          <w:sz w:val="22"/>
          <w:szCs w:val="22"/>
        </w:rPr>
      </w:pPr>
      <w:r w:rsidRPr="00F95D8F">
        <w:rPr>
          <w:b/>
          <w:bCs/>
          <w:sz w:val="22"/>
          <w:szCs w:val="22"/>
        </w:rPr>
        <w:t xml:space="preserve">MODULO </w:t>
      </w:r>
      <w:r w:rsidR="00D250AF" w:rsidRPr="00F95D8F">
        <w:rPr>
          <w:b/>
          <w:bCs/>
          <w:sz w:val="22"/>
          <w:szCs w:val="22"/>
        </w:rPr>
        <w:t>VI:</w:t>
      </w:r>
      <w:r w:rsidRPr="00F95D8F">
        <w:rPr>
          <w:b/>
          <w:bCs/>
          <w:sz w:val="22"/>
          <w:szCs w:val="22"/>
        </w:rPr>
        <w:t xml:space="preserve"> VOLUMENES Y ORIGENES DE CARGA Y PASAJEROS</w:t>
      </w:r>
    </w:p>
    <w:p w14:paraId="0CBF1916" w14:textId="2EFAC309" w:rsidR="003530F2" w:rsidRPr="00F95D8F" w:rsidRDefault="003530F2" w:rsidP="00BE31FF">
      <w:pPr>
        <w:spacing w:after="0"/>
        <w:rPr>
          <w:b/>
          <w:bCs/>
          <w:sz w:val="22"/>
          <w:szCs w:val="22"/>
        </w:rPr>
      </w:pPr>
      <w:r w:rsidRPr="00F95D8F">
        <w:rPr>
          <w:b/>
          <w:bCs/>
          <w:sz w:val="22"/>
          <w:szCs w:val="22"/>
        </w:rPr>
        <w:t>2. ORIGEN Y DESTINO POR MODALIDAD DE SERVICIO DE TRANSPORTE</w:t>
      </w:r>
    </w:p>
    <w:p w14:paraId="25F4EEB3" w14:textId="0BB321D1" w:rsidR="00E0205B" w:rsidRDefault="00BA0760" w:rsidP="00BA0760">
      <w:pPr>
        <w:spacing w:after="0"/>
        <w:ind w:left="708"/>
        <w:rPr>
          <w:sz w:val="22"/>
          <w:szCs w:val="22"/>
        </w:rPr>
      </w:pPr>
      <w:r w:rsidRPr="00F95D8F">
        <w:rPr>
          <w:b/>
          <w:bCs/>
          <w:sz w:val="22"/>
          <w:szCs w:val="22"/>
        </w:rPr>
        <w:t>4921- Transporte terrestre de pasajeros /Nacional</w:t>
      </w:r>
      <w:r w:rsidR="00D250AF" w:rsidRPr="00F95D8F">
        <w:rPr>
          <w:b/>
          <w:bCs/>
          <w:sz w:val="22"/>
          <w:szCs w:val="22"/>
        </w:rPr>
        <w:t xml:space="preserve">: </w:t>
      </w:r>
      <w:r w:rsidR="00D250AF" w:rsidRPr="00F95D8F">
        <w:rPr>
          <w:sz w:val="22"/>
          <w:szCs w:val="22"/>
        </w:rPr>
        <w:t>Debe diligenciar los Departamentos de Origen y Destino</w:t>
      </w:r>
      <w:r w:rsidRPr="00F95D8F">
        <w:rPr>
          <w:sz w:val="22"/>
          <w:szCs w:val="22"/>
        </w:rPr>
        <w:t>.</w:t>
      </w:r>
      <w:r w:rsidR="00D250AF" w:rsidRPr="00F95D8F">
        <w:rPr>
          <w:sz w:val="22"/>
          <w:szCs w:val="22"/>
        </w:rPr>
        <w:t xml:space="preserve"> </w:t>
      </w:r>
      <w:r w:rsidR="00D20EA7">
        <w:rPr>
          <w:sz w:val="22"/>
          <w:szCs w:val="22"/>
        </w:rPr>
        <w:t xml:space="preserve"> </w:t>
      </w:r>
    </w:p>
    <w:p w14:paraId="0EFCD090" w14:textId="1953E6FC" w:rsidR="00D20EA7" w:rsidRPr="00F95D8F" w:rsidRDefault="00D20EA7" w:rsidP="00D20EA7">
      <w:pPr>
        <w:shd w:val="clear" w:color="auto" w:fill="83CAEB" w:themeFill="accent1" w:themeFillTint="66"/>
        <w:spacing w:after="0"/>
        <w:ind w:left="708"/>
        <w:rPr>
          <w:sz w:val="22"/>
          <w:szCs w:val="22"/>
        </w:rPr>
      </w:pPr>
      <w:r>
        <w:rPr>
          <w:b/>
          <w:bCs/>
          <w:sz w:val="22"/>
          <w:szCs w:val="22"/>
        </w:rPr>
        <w:t>RISARALDA / RISARALDA</w:t>
      </w:r>
    </w:p>
    <w:p w14:paraId="4BBF50E4" w14:textId="77777777" w:rsidR="00BA0760" w:rsidRPr="00F95D8F" w:rsidRDefault="00BA0760" w:rsidP="00BA0760">
      <w:pPr>
        <w:spacing w:after="0"/>
        <w:ind w:left="708"/>
        <w:rPr>
          <w:sz w:val="22"/>
          <w:szCs w:val="22"/>
        </w:rPr>
      </w:pPr>
    </w:p>
    <w:p w14:paraId="089FF315" w14:textId="77777777" w:rsidR="00BA0760" w:rsidRPr="00F95D8F" w:rsidRDefault="00BA0760" w:rsidP="00BA0760">
      <w:pPr>
        <w:spacing w:after="0"/>
        <w:ind w:left="708"/>
        <w:rPr>
          <w:sz w:val="22"/>
          <w:szCs w:val="22"/>
        </w:rPr>
      </w:pPr>
    </w:p>
    <w:p w14:paraId="0D4A25AA" w14:textId="77777777" w:rsidR="00E0205B" w:rsidRPr="00F95D8F" w:rsidRDefault="00E0205B" w:rsidP="00E0205B">
      <w:pPr>
        <w:spacing w:after="0"/>
        <w:rPr>
          <w:sz w:val="22"/>
          <w:szCs w:val="22"/>
        </w:rPr>
      </w:pPr>
    </w:p>
    <w:p w14:paraId="6883A87A" w14:textId="571ED265" w:rsidR="00E0205B" w:rsidRPr="00F95D8F" w:rsidRDefault="00E0205B" w:rsidP="00E0205B">
      <w:pPr>
        <w:spacing w:after="0"/>
        <w:rPr>
          <w:sz w:val="22"/>
          <w:szCs w:val="22"/>
        </w:rPr>
      </w:pPr>
      <w:r w:rsidRPr="00F95D8F">
        <w:rPr>
          <w:sz w:val="22"/>
          <w:szCs w:val="22"/>
        </w:rPr>
        <w:t xml:space="preserve">Cualquier inquietud respecto a estas inconsistencias favor comunicarse con el monitor SERAFIN SAAVEDRA RIVERA, a través del correo electrónico </w:t>
      </w:r>
      <w:hyperlink r:id="rId8" w:history="1">
        <w:r w:rsidRPr="00F95D8F">
          <w:rPr>
            <w:rStyle w:val="Hipervnculo"/>
            <w:sz w:val="22"/>
            <w:szCs w:val="22"/>
          </w:rPr>
          <w:t>ssaavedrar@dane.gov.co</w:t>
        </w:r>
      </w:hyperlink>
      <w:r w:rsidRPr="00F95D8F">
        <w:rPr>
          <w:sz w:val="22"/>
          <w:szCs w:val="22"/>
        </w:rPr>
        <w:t xml:space="preserve"> o al WhatsApp 3105789979.</w:t>
      </w:r>
    </w:p>
    <w:sectPr w:rsidR="00E0205B" w:rsidRPr="00F95D8F" w:rsidSect="00F95D8F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B3BEC"/>
    <w:multiLevelType w:val="multilevel"/>
    <w:tmpl w:val="1F348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7000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E4C"/>
    <w:rsid w:val="00010D1D"/>
    <w:rsid w:val="00082D38"/>
    <w:rsid w:val="000A77B9"/>
    <w:rsid w:val="001F5482"/>
    <w:rsid w:val="00264665"/>
    <w:rsid w:val="003115E0"/>
    <w:rsid w:val="003530F2"/>
    <w:rsid w:val="00373795"/>
    <w:rsid w:val="00374355"/>
    <w:rsid w:val="003928CC"/>
    <w:rsid w:val="005D32E8"/>
    <w:rsid w:val="0062441D"/>
    <w:rsid w:val="006754C8"/>
    <w:rsid w:val="006806CC"/>
    <w:rsid w:val="00686B9E"/>
    <w:rsid w:val="0069085A"/>
    <w:rsid w:val="0071732F"/>
    <w:rsid w:val="007409D0"/>
    <w:rsid w:val="00775572"/>
    <w:rsid w:val="007C15C2"/>
    <w:rsid w:val="007C4689"/>
    <w:rsid w:val="00A97374"/>
    <w:rsid w:val="00BA0760"/>
    <w:rsid w:val="00BC1E4C"/>
    <w:rsid w:val="00BE31FF"/>
    <w:rsid w:val="00CE5F4F"/>
    <w:rsid w:val="00D20EA7"/>
    <w:rsid w:val="00D250AF"/>
    <w:rsid w:val="00D26B67"/>
    <w:rsid w:val="00E0205B"/>
    <w:rsid w:val="00E42F21"/>
    <w:rsid w:val="00E96372"/>
    <w:rsid w:val="00F00578"/>
    <w:rsid w:val="00F9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6AB45"/>
  <w15:chartTrackingRefBased/>
  <w15:docId w15:val="{C5976817-8D91-406E-847C-8E72B4181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1E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1E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1E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1E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1E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1E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1E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1E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1E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1E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1E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1E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1E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1E4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1E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1E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1E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1E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1E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1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1E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1E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1E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1E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1E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1E4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1E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1E4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1E4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0205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020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1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60080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7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9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92612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2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3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7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95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saavedrar@dane.gov.c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tatuto.co/114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tatuto.co/libro/1/i-titulo-i" TargetMode="External"/><Relationship Id="rId5" Type="http://schemas.openxmlformats.org/officeDocument/2006/relationships/hyperlink" Target="https://estatuto.co/11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803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SAATELITAL COMUNICACIONES</dc:creator>
  <cp:keywords/>
  <dc:description/>
  <cp:lastModifiedBy>Revisoría Fiscal</cp:lastModifiedBy>
  <cp:revision>10</cp:revision>
  <cp:lastPrinted>2024-11-20T15:05:00Z</cp:lastPrinted>
  <dcterms:created xsi:type="dcterms:W3CDTF">2024-11-12T22:22:00Z</dcterms:created>
  <dcterms:modified xsi:type="dcterms:W3CDTF">2024-11-20T16:33:00Z</dcterms:modified>
</cp:coreProperties>
</file>