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pPr>
        <w:spacing w:after="100" w:before="0" w:line="264" w:lineRule="auto"/>
        <w:jc w:val="both"/>
      </w:pP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600"/>
        <w:gridCol w:w="6400"/>
      </w:tblGrid>
      <w:tr>
        <w:trPr>
          <w:tblHeader/>
        </w:trPr>
        <w:tc>
          <w:tcPr>
            <w:tcW w:w="2600" w:type="dxa"/>
            <w:shd w:val="clear" w:color="auto" w:fill="D9E2F3"/>
          </w:tcPr>
          <w:p>
            <w:pPr>
              <w:spacing w:after="40" w:before="0" w:line="264" w:lineRule="auto"/>
              <w:jc w:val="center"/>
            </w:pPr>
            <w:r>
              <w:rPr>
                <w:rFonts w:ascii="Calibri" w:hAnsi="Calibri" w:cs="Arial"/>
                <w:b/>
                <w:color w:val="1F3864"/>
                <w:sz w:val="19"/>
                <w:szCs w:val="19"/>
              </w:rPr>
              <w:t xml:space="preserve">Campo</w:t>
            </w:r>
          </w:p>
        </w:tc>
        <w:tc>
          <w:tcPr>
            <w:tcW w:w="6400" w:type="dxa"/>
            <w:shd w:val="clear" w:color="auto" w:fill="D9E2F3"/>
          </w:tcPr>
          <w:p>
            <w:pPr>
              <w:spacing w:after="40" w:before="0" w:line="264" w:lineRule="auto"/>
              <w:jc w:val="center"/>
            </w:pPr>
            <w:r>
              <w:rPr>
                <w:rFonts w:ascii="Calibri" w:hAnsi="Calibri" w:cs="Arial"/>
                <w:b/>
                <w:color w:val="1F3864"/>
                <w:sz w:val="19"/>
                <w:szCs w:val="19"/>
              </w:rPr>
              <w:t xml:space="preserve">Detalle</w:t>
            </w:r>
          </w:p>
        </w:tc>
      </w:tr>
      <w:tr>
        <w:tc>
          <w:tcPr>
            <w:tcW w:w="2600" w:type="dxa"/>
          </w:tcPr>
          <w:p>
            <w:pPr>
              <w:spacing w:after="40" w:before="0" w:line="264" w:lineRule="auto"/>
              <w:jc w:val="left"/>
            </w:pPr>
            <w:r>
              <w:rPr>
                <w:rFonts w:ascii="Calibri" w:hAnsi="Calibri" w:cs="Arial"/>
                <w:color w:val="262626"/>
                <w:sz w:val="19"/>
                <w:szCs w:val="19"/>
              </w:rPr>
              <w:t xml:space="preserve">Estudiante</w:t>
            </w:r>
          </w:p>
        </w:tc>
        <w:tc>
          <w:tcPr>
            <w:tcW w:w="6400" w:type="dxa"/>
          </w:tcPr>
          <w:p>
            <w:pPr>
              <w:spacing w:after="40" w:before="0" w:line="264" w:lineRule="auto"/>
              <w:jc w:val="left"/>
            </w:pPr>
            <w:r>
              <w:rPr>
                <w:rFonts w:ascii="Calibri" w:hAnsi="Calibri" w:cs="Arial"/>
                <w:color w:val="262626"/>
                <w:sz w:val="19"/>
                <w:szCs w:val="19"/>
              </w:rPr>
              <w:t xml:space="preserve">Andrés Rodrigo Vergara Acevedo</w:t>
            </w:r>
          </w:p>
        </w:tc>
      </w:tr>
      <w:tr>
        <w:tc>
          <w:tcPr>
            <w:tcW w:w="2600" w:type="dxa"/>
          </w:tcPr>
          <w:p>
            <w:pPr>
              <w:spacing w:after="40" w:before="0" w:line="264" w:lineRule="auto"/>
              <w:jc w:val="left"/>
            </w:pPr>
            <w:r>
              <w:rPr>
                <w:rFonts w:ascii="Calibri" w:hAnsi="Calibri" w:cs="Arial"/>
                <w:color w:val="262626"/>
                <w:sz w:val="19"/>
                <w:szCs w:val="19"/>
              </w:rPr>
              <w:t xml:space="preserve">Carrera y sede</w:t>
            </w:r>
          </w:p>
        </w:tc>
        <w:tc>
          <w:tcPr>
            <w:tcW w:w="6400" w:type="dxa"/>
          </w:tcPr>
          <w:p>
            <w:pPr>
              <w:spacing w:after="40" w:before="0" w:line="264" w:lineRule="auto"/>
              <w:jc w:val="left"/>
            </w:pPr>
            <w:r>
              <w:rPr>
                <w:rFonts w:ascii="Calibri" w:hAnsi="Calibri" w:cs="Arial"/>
                <w:color w:val="262626"/>
                <w:sz w:val="19"/>
                <w:szCs w:val="19"/>
              </w:rPr>
              <w:t xml:space="preserve">Ingeniería en Informática · Duoc UC, sede Viña del Mar</w:t>
            </w:r>
          </w:p>
        </w:tc>
      </w:tr>
      <w:tr>
        <w:tc>
          <w:tcPr>
            <w:tcW w:w="2600" w:type="dxa"/>
          </w:tcPr>
          <w:p>
            <w:pPr>
              <w:spacing w:after="40" w:before="0" w:line="264" w:lineRule="auto"/>
              <w:jc w:val="left"/>
            </w:pPr>
            <w:r>
              <w:rPr>
                <w:rFonts w:ascii="Calibri" w:hAnsi="Calibri" w:cs="Arial"/>
                <w:color w:val="262626"/>
                <w:sz w:val="19"/>
                <w:szCs w:val="19"/>
              </w:rPr>
              <w:t xml:space="preserve">Asignatura</w:t>
            </w:r>
          </w:p>
        </w:tc>
        <w:tc>
          <w:tcPr>
            <w:tcW w:w="6400" w:type="dxa"/>
          </w:tcPr>
          <w:p>
            <w:pPr>
              <w:spacing w:after="40" w:before="0" w:line="264" w:lineRule="auto"/>
              <w:jc w:val="left"/>
            </w:pPr>
            <w:r>
              <w:rPr>
                <w:rFonts w:ascii="Calibri" w:hAnsi="Calibri" w:cs="Arial"/>
                <w:color w:val="262626"/>
                <w:sz w:val="19"/>
                <w:szCs w:val="19"/>
              </w:rPr>
              <w:t xml:space="preserve">Capstone (PTY4614)</w:t>
            </w:r>
          </w:p>
        </w:tc>
      </w:tr>
      <w:tr>
        <w:tc>
          <w:tcPr>
            <w:tcW w:w="2600" w:type="dxa"/>
          </w:tcPr>
          <w:p>
            <w:pPr>
              <w:spacing w:after="40" w:before="0" w:line="264" w:lineRule="auto"/>
              <w:jc w:val="left"/>
            </w:pPr>
            <w:r>
              <w:rPr>
                <w:rFonts w:ascii="Calibri" w:hAnsi="Calibri" w:cs="Arial"/>
                <w:color w:val="262626"/>
                <w:sz w:val="19"/>
                <w:szCs w:val="19"/>
              </w:rPr>
              <w:t xml:space="preserve">Proyecto APT</w:t>
            </w:r>
          </w:p>
        </w:tc>
        <w:tc>
          <w:tcPr>
            <w:tcW w:w="6400" w:type="dxa"/>
          </w:tcPr>
          <w:p>
            <w:pPr>
              <w:spacing w:after="40" w:before="0" w:line="264" w:lineRule="auto"/>
              <w:jc w:val="left"/>
            </w:pPr>
            <w:r>
              <w:rPr>
                <w:rFonts w:ascii="Calibri" w:hAnsi="Calibri" w:cs="Arial"/>
                <w:color w:val="262626"/>
                <w:sz w:val="19"/>
                <w:szCs w:val="19"/>
              </w:rPr>
              <w:t xml:space="preserve">DomoVida: plataforma IoT de monitoreo y asistencia para el adulto mayor en su hogar</w:t>
            </w:r>
          </w:p>
        </w:tc>
      </w:tr>
      <w:tr>
        <w:tc>
          <w:tcPr>
            <w:tcW w:w="2600" w:type="dxa"/>
          </w:tcPr>
          <w:p>
            <w:pPr>
              <w:spacing w:after="40" w:before="0" w:line="264" w:lineRule="auto"/>
              <w:jc w:val="left"/>
            </w:pPr>
            <w:r>
              <w:rPr>
                <w:rFonts w:ascii="Calibri" w:hAnsi="Calibri" w:cs="Arial"/>
                <w:color w:val="262626"/>
                <w:sz w:val="19"/>
                <w:szCs w:val="19"/>
              </w:rPr>
              <w:t xml:space="preserve">Etapa del informe</w:t>
            </w:r>
          </w:p>
        </w:tc>
        <w:tc>
          <w:tcPr>
            <w:tcW w:w="6400" w:type="dxa"/>
          </w:tcPr>
          <w:p>
            <w:pPr>
              <w:spacing w:after="40" w:before="0" w:line="264" w:lineRule="auto"/>
              <w:jc w:val="left"/>
            </w:pPr>
            <w:r>
              <w:rPr>
                <w:rFonts w:ascii="Calibri" w:hAnsi="Calibri" w:cs="Arial"/>
                <w:color w:val="262626"/>
                <w:sz w:val="19"/>
                <w:szCs w:val="19"/>
              </w:rPr>
              <w:t xml:space="preserve">Fase 2 · Sprint 3 (21 de septiembre al 11 de octubre de 2026) · semana 8 de 18</w:t>
            </w:r>
          </w:p>
        </w:tc>
      </w:tr>
      <w:tr>
        <w:tc>
          <w:tcPr>
            <w:tcW w:w="2600" w:type="dxa"/>
          </w:tcPr>
          <w:p>
            <w:pPr>
              <w:spacing w:after="40" w:before="0" w:line="264" w:lineRule="auto"/>
              <w:jc w:val="left"/>
            </w:pPr>
            <w:r>
              <w:rPr>
                <w:rFonts w:ascii="Calibri" w:hAnsi="Calibri" w:cs="Arial"/>
                <w:color w:val="262626"/>
                <w:sz w:val="19"/>
                <w:szCs w:val="19"/>
              </w:rPr>
              <w:t xml:space="preserve">Fecha de entrega</w:t>
            </w:r>
          </w:p>
        </w:tc>
        <w:tc>
          <w:tcPr>
            <w:tcW w:w="6400" w:type="dxa"/>
          </w:tcPr>
          <w:p>
            <w:pPr>
              <w:spacing w:after="40" w:before="0" w:line="264" w:lineRule="auto"/>
              <w:jc w:val="left"/>
            </w:pPr>
            <w:r>
              <w:rPr>
                <w:rFonts w:ascii="Calibri" w:hAnsi="Calibri" w:cs="Arial"/>
                <w:color w:val="262626"/>
                <w:sz w:val="19"/>
                <w:szCs w:val="19"/>
              </w:rPr>
              <w:t xml:space="preserve">7 de octubre de 2026</w:t>
            </w:r>
          </w:p>
        </w:tc>
      </w:tr>
      <w:tr>
        <w:tc>
          <w:tcPr>
            <w:tcW w:w="2600" w:type="dxa"/>
          </w:tcPr>
          <w:p>
            <w:pPr>
              <w:spacing w:after="40" w:before="0" w:line="264" w:lineRule="auto"/>
              <w:jc w:val="left"/>
            </w:pPr>
            <w:r>
              <w:rPr>
                <w:rFonts w:ascii="Calibri" w:hAnsi="Calibri" w:cs="Arial"/>
                <w:color w:val="262626"/>
                <w:sz w:val="19"/>
                <w:szCs w:val="19"/>
              </w:rPr>
              <w:t xml:space="preserve">Repositorio</w:t>
            </w:r>
          </w:p>
        </w:tc>
        <w:tc>
          <w:tcPr>
            <w:tcW w:w="6400" w:type="dxa"/>
          </w:tcPr>
          <w:p>
            <w:pPr>
              <w:spacing w:after="40" w:before="0" w:line="264" w:lineRule="auto"/>
              <w:jc w:val="left"/>
            </w:pPr>
            <w:r>
              <w:rPr>
                <w:rFonts w:ascii="Calibri" w:hAnsi="Calibri" w:cs="Arial"/>
                <w:color w:val="262626"/>
                <w:sz w:val="19"/>
                <w:szCs w:val="19"/>
              </w:rPr>
              <w:t xml:space="preserve">https://github.com/AndresVergara74/domovida-backend</w:t>
            </w:r>
          </w:p>
        </w:tc>
      </w:tr>
      <w:tr>
        <w:tc>
          <w:tcPr>
            <w:tcW w:w="2600" w:type="dxa"/>
          </w:tcPr>
          <w:p>
            <w:pPr>
              <w:spacing w:after="40" w:before="0" w:line="264" w:lineRule="auto"/>
              <w:jc w:val="left"/>
            </w:pPr>
            <w:r>
              <w:rPr>
                <w:rFonts w:ascii="Calibri" w:hAnsi="Calibri" w:cs="Arial"/>
                <w:color w:val="262626"/>
                <w:sz w:val="19"/>
                <w:szCs w:val="19"/>
              </w:rPr>
              <w:t xml:space="preserve">Sistema publicado</w:t>
            </w:r>
          </w:p>
        </w:tc>
        <w:tc>
          <w:tcPr>
            <w:tcW w:w="6400" w:type="dxa"/>
          </w:tcPr>
          <w:p>
            <w:pPr>
              <w:spacing w:after="40" w:before="0" w:line="264" w:lineRule="auto"/>
              <w:jc w:val="left"/>
            </w:pPr>
            <w:r>
              <w:rPr>
                <w:rFonts w:ascii="Calibri" w:hAnsi="Calibri" w:cs="Arial"/>
                <w:color w:val="262626"/>
                <w:sz w:val="19"/>
                <w:szCs w:val="19"/>
              </w:rPr>
              <w:t xml:space="preserve">Panel: https://domovida-backend.vercel.app · API: https://domovida-backend.onrender.com/docs</w:t>
            </w:r>
          </w:p>
        </w:tc>
      </w:tr>
      <w:tr>
        <w:tc>
          <w:tcPr>
            <w:tcW w:w="2600" w:type="dxa"/>
          </w:tcPr>
          <w:p>
            <w:pPr>
              <w:spacing w:after="40" w:before="0" w:line="264" w:lineRule="auto"/>
              <w:jc w:val="left"/>
            </w:pPr>
            <w:r>
              <w:rPr>
                <w:rFonts w:ascii="Calibri" w:hAnsi="Calibri" w:cs="Arial"/>
                <w:color w:val="262626"/>
                <w:sz w:val="19"/>
                <w:szCs w:val="19"/>
              </w:rPr>
              <w:t xml:space="preserve">Tablero Kanban</w:t>
            </w:r>
          </w:p>
        </w:tc>
        <w:tc>
          <w:tcPr>
            <w:tcW w:w="6400" w:type="dxa"/>
          </w:tcPr>
          <w:p>
            <w:pPr>
              <w:spacing w:after="40" w:before="0" w:line="264" w:lineRule="auto"/>
              <w:jc w:val="left"/>
            </w:pPr>
            <w:r>
              <w:rPr>
                <w:rFonts w:ascii="Calibri" w:hAnsi="Calibri" w:cs="Arial"/>
                <w:color w:val="262626"/>
                <w:sz w:val="19"/>
                <w:szCs w:val="19"/>
              </w:rPr>
              <w:t xml:space="preserve">https://github.com/users/AndresVergara74/projects/1</w:t>
            </w:r>
          </w:p>
        </w:tc>
      </w:tr>
    </w:tbl>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Resumen / Abstract</w:t>
            </w:r>
          </w:p>
        </w:tc>
      </w:tr>
    </w:tbl>
    <w:p>
      <w:pPr>
        <w:keepNext/>
        <w:spacing w:after="80" w:before="120" w:line="264" w:lineRule="auto"/>
        <w:jc w:val="left"/>
      </w:pPr>
      <w:r>
        <w:rPr>
          <w:rFonts w:ascii="Calibri" w:hAnsi="Calibri" w:cs="Arial"/>
          <w:b/>
          <w:color w:val="1F3864"/>
          <w:sz w:val="20"/>
          <w:szCs w:val="20"/>
        </w:rPr>
        <w:t xml:space="preserve">Resumen</w:t>
      </w:r>
    </w:p>
    <w:p>
      <w:pPr>
        <w:spacing w:after="100" w:before="0" w:line="264" w:lineRule="auto"/>
        <w:jc w:val="both"/>
      </w:pPr>
      <w:r>
        <w:rPr>
          <w:rFonts w:ascii="Calibri" w:hAnsi="Calibri" w:cs="Arial"/>
          <w:color w:val="262626"/>
          <w:sz w:val="20"/>
          <w:szCs w:val="20"/>
        </w:rPr>
        <w:t xml:space="preserve">DomoVida es una plataforma IoT de monitoreo para adultos mayores que viven solos, que detecta caídas y emergencias y alerta al cuidador en tiempo real. Este informe presenta el avance a la semana 8 de 18. El prototipo integra un simulador de 8 sensores, una API FastAPI con persistencia en Supabase/PostgreSQL, un panel React y alertas por WebSocket y notificación push (ntfy). Se aplicaron seudonimización SHA-256, seguridad a nivel de fila (RLS) y una implementación inicial de interoperabilidad HL7 FHIR R4 (eventos expuestos como recursos Observation), siguiendo los principios de protección de datos de la Ley N° 21.719. En 30 caídas simuladas, el 100 % de las alertas llegó al panel por WebSocket, con una latencia promedio de 1.577 ms en Render y de 216 ms en AWS EC2; esta comparación sugiere que la distancia entre servicios es un factor relevante de la latencia observada. El desarrollo avanzó más rápido que lo planificado, mientras que la documentación ágil se reconstruyó a partir del historial de commits.</w:t>
      </w:r>
    </w:p>
    <w:p>
      <w:pPr>
        <w:keepNext/>
        <w:spacing w:after="80" w:before="120" w:line="264" w:lineRule="auto"/>
        <w:jc w:val="left"/>
      </w:pPr>
      <w:r>
        <w:rPr>
          <w:rFonts w:ascii="Calibri" w:hAnsi="Calibri" w:cs="Arial"/>
          <w:b/>
          <w:color w:val="1F3864"/>
          <w:sz w:val="20"/>
          <w:szCs w:val="20"/>
        </w:rPr>
        <w:t xml:space="preserve">Abstract</w:t>
      </w:r>
    </w:p>
    <w:p>
      <w:pPr>
        <w:spacing w:after="100" w:before="0" w:line="264" w:lineRule="auto"/>
        <w:jc w:val="both"/>
      </w:pPr>
      <w:r>
        <w:rPr>
          <w:rFonts w:ascii="Calibri" w:hAnsi="Calibri" w:cs="Arial"/>
          <w:color w:val="262626"/>
          <w:sz w:val="20"/>
          <w:szCs w:val="20"/>
        </w:rPr>
        <w:t xml:space="preserve">DomoVida is an IoT monitoring platform for older adults who live alone. It detects falls and emergencies and alerts the caregiver in real time. This report presents the progress at week 8 of 18. The prototype integrates an 8-sensor simulator, a FastAPI backend with Supabase/PostgreSQL persistence, a React dashboard, and alerts via WebSocket and push notifications (ntfy). SHA-256 pseudonymization, Row Level Security (RLS) and an initial HL7 FHIR R4 interoperability layer (events exposed as Observation resources) were implemented following the data protection principles of Chilean Law No. 21,719. Across 30 simulated falls, 100% of the alerts reached the dashboard via WebSocket, with an average latency of 1,577 ms on Render and 216 ms on AWS EC2; this comparison suggests that the distance between services is a relevant factor in the observed latency. Development progressed faster than planned, while the agile documentation was rebuilt from the commit history.</w:t>
      </w:r>
    </w:p>
    <w:p>
      <w:pPr>
        <w:spacing w:after="40" w:before="0" w:line="264" w:lineRule="auto"/>
        <w:jc w:val="both"/>
      </w:pPr>
      <w:r>
        <w:rPr>
          <w:rFonts w:ascii="Calibri" w:hAnsi="Calibri" w:cs="Arial"/>
          <w:b/>
          <w:color w:val="1F3864"/>
          <w:sz w:val="20"/>
          <w:szCs w:val="20"/>
        </w:rPr>
        <w:t xml:space="preserve">Palabras clave: </w:t>
      </w:r>
      <w:r>
        <w:rPr>
          <w:rFonts w:ascii="Calibri" w:hAnsi="Calibri" w:cs="Arial"/>
          <w:color w:val="262626"/>
          <w:sz w:val="20"/>
          <w:szCs w:val="20"/>
        </w:rPr>
        <w:t xml:space="preserve">IoT, adulto mayor, detección de caídas, FastAPI, HL7 FHIR, Ley 21.719, Scrum.</w:t>
      </w:r>
    </w:p>
    <w:p>
      <w:pPr>
        <w:spacing w:after="200" w:before="0" w:line="264" w:lineRule="auto"/>
        <w:jc w:val="both"/>
      </w:pPr>
      <w:r>
        <w:rPr>
          <w:rFonts w:ascii="Calibri" w:hAnsi="Calibri" w:cs="Arial"/>
          <w:b/>
          <w:color w:val="1F3864"/>
          <w:sz w:val="20"/>
          <w:szCs w:val="20"/>
        </w:rPr>
        <w:t xml:space="preserve">Keywords: </w:t>
      </w:r>
      <w:r>
        <w:rPr>
          <w:rFonts w:ascii="Calibri" w:hAnsi="Calibri" w:cs="Arial"/>
          <w:color w:val="262626"/>
          <w:sz w:val="20"/>
          <w:szCs w:val="20"/>
        </w:rPr>
        <w:t xml:space="preserve">IoT, older adults, fall detection, FastAPI, HL7 FHIR, Chilean Law 21,719, Scrum.</w:t>
      </w:r>
    </w:p>
    <w:p>
      <w:r>
        <w:br w:type="page"/>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after="100" w:before="0" w:line="264" w:lineRule="auto"/>
              <w:jc w:val="both"/>
            </w:pPr>
            <w:r>
              <w:rPr>
                <w:rFonts w:ascii="Calibri" w:hAnsi="Calibri" w:cs="Arial"/>
                <w:color w:val="262626"/>
                <w:sz w:val="20"/>
                <w:szCs w:val="20"/>
              </w:rPr>
              <w:t xml:space="preserve">A la semana 8 de 18 (Sprint 3, del 21 de septiembre al 11 de octubre de 2026), DomoVida cuenta con un prototipo funcional desplegado en la nube que cubre el flujo crítico completo: caída → detección → alerta → atención del cuidador. Los tres objetivos específicos presentan avance:</w:t>
            </w:r>
          </w:p>
          <w:p>
            <w:pPr>
              <w:spacing w:after="100" w:before="0" w:line="264" w:lineRule="auto"/>
              <w:jc w:val="both"/>
            </w:pPr>
            <w:r>
              <w:rPr>
                <w:rFonts w:ascii="Calibri" w:hAnsi="Calibri" w:cs="Arial"/>
                <w:b/>
                <w:color w:val="262626"/>
                <w:sz w:val="20"/>
                <w:szCs w:val="20"/>
              </w:rPr>
              <w:t xml:space="preserve">OE1 (captura y detección en el borde): implementado en el alcance del prototipo, con validación pendiente.</w:t>
            </w:r>
            <w:r>
              <w:rPr>
                <w:rFonts w:ascii="Calibri" w:hAnsi="Calibri" w:cs="Arial"/>
                <w:color w:val="262626"/>
                <w:sz w:val="20"/>
                <w:szCs w:val="20"/>
              </w:rPr>
              <w:t xml:space="preserve"> El simulador de 8 sensores (acelerómetro, movimiento, gas, humo, dos sensores de apertura, sensor cardíaco y botón de pánico) envía lecturas cada 5 segundos; las reglas de umbral marcan los eventos críticos y SQLite3 respalda los datos localmente. La prueba formal de continuidad sin conexión queda pendiente para el Sprint 4.</w:t>
            </w:r>
          </w:p>
          <w:p>
            <w:pPr>
              <w:spacing w:after="100" w:before="0" w:line="264" w:lineRule="auto"/>
              <w:jc w:val="both"/>
            </w:pPr>
            <w:r>
              <w:rPr>
                <w:rFonts w:ascii="Calibri" w:hAnsi="Calibri" w:cs="Arial"/>
                <w:b/>
                <w:color w:val="262626"/>
                <w:sz w:val="20"/>
                <w:szCs w:val="20"/>
              </w:rPr>
              <w:t xml:space="preserve">OE2 (backend, datos y protección de datos): implementado en el alcance del prototipo, con pendientes acotados.</w:t>
            </w:r>
            <w:r>
              <w:rPr>
                <w:rFonts w:ascii="Calibri" w:hAnsi="Calibri" w:cs="Arial"/>
                <w:color w:val="262626"/>
                <w:sz w:val="20"/>
                <w:szCs w:val="20"/>
              </w:rPr>
              <w:t xml:space="preserve"> La API FastAPI está desplegada en Render y sincroniza los eventos con Supabase/PostgreSQL. El trigger crear_alerta_automatica genera cada alerta con su severidad (prueba PI-02) y las políticas RLS impiden el acceso anónimo (PI-03). El RUT se seudonimiza con SHA-256 con sal (PU-03) y se realizó una implementación inicial de HL7 FHIR R4 que expone los eventos como recursos Observation y Bundle válidos (PI-04). Además, el sistema se empaquetó en Docker y se desplegó una réplica en AWS EC2 como entorno de prueba comparativo. Quedan pendientes el recurso FHIR Patient y la autenticación de la API (Sprint 4).</w:t>
            </w:r>
          </w:p>
          <w:p>
            <w:pPr>
              <w:spacing w:after="100" w:before="0" w:line="264" w:lineRule="auto"/>
              <w:jc w:val="both"/>
            </w:pPr>
            <w:r>
              <w:rPr>
                <w:rFonts w:ascii="Calibri" w:hAnsi="Calibri" w:cs="Arial"/>
                <w:b/>
                <w:color w:val="262626"/>
                <w:sz w:val="20"/>
                <w:szCs w:val="20"/>
              </w:rPr>
              <w:t xml:space="preserve">OE3 (panel del cuidador y alertas): en curso, con avance mayor al planificado.</w:t>
            </w:r>
            <w:r>
              <w:rPr>
                <w:rFonts w:ascii="Calibri" w:hAnsi="Calibri" w:cs="Arial"/>
                <w:color w:val="262626"/>
                <w:sz w:val="20"/>
                <w:szCs w:val="20"/>
              </w:rPr>
              <w:t xml:space="preserve"> El panel React en Vercel muestra 4 pestañas, el mapa Leaflet y el registro de atención de cada alerta. En 30 caídas simuladas, el 100 % de las alertas llegó al panel por WebSocket (PR-01); los avisos ntfy fueron aceptados por el servidor y su recepción en el celular se verificó visualmente, quedando pendiente su conteo formal. Falta la evaluación de usabilidad con la Escala SUS, planificada para las semanas 16 a 18.</w:t>
            </w:r>
          </w:p>
          <w:p>
            <w:pPr>
              <w:spacing w:after="100" w:before="0" w:line="264" w:lineRule="auto"/>
              <w:jc w:val="both"/>
            </w:pPr>
            <w:r>
              <w:rPr>
                <w:rFonts w:ascii="Calibri" w:hAnsi="Calibri" w:cs="Arial"/>
                <w:color w:val="262626"/>
                <w:sz w:val="20"/>
                <w:szCs w:val="20"/>
              </w:rPr>
              <w:t xml:space="preserve">El desarrollo avanzó más rápido que lo planificado en la Guía 1.5, que proyectaba solo el OE1 a esta fecha. En cambio, la documentación ágil se atrasó y se reconstruyó a partir del historial de commits.</w:t>
            </w:r>
          </w:p>
        </w:tc>
      </w:tr>
      <w:tr w:rsidR="0003309E" w14:paraId="054DAFFB" w14:textId="77777777" w:rsidTr="000A1331">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after="100" w:before="0" w:line="264" w:lineRule="auto"/>
              <w:jc w:val="both"/>
            </w:pPr>
            <w:r>
              <w:rPr>
                <w:rFonts w:ascii="Calibri" w:hAnsi="Calibri" w:cs="Arial"/>
                <w:color w:val="262626"/>
                <w:sz w:val="20"/>
                <w:szCs w:val="20"/>
              </w:rPr>
              <w:t xml:space="preserve">Se mantienen el objetivo general y los tres objetivos específicos definidos en la Guía 1.5. Los ajustes son de alcance y de indicadores, no de propósito: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OE2, interoperabilidad HL7 FHIR (adelantada):</w:t>
            </w:r>
            <w:r>
              <w:rPr>
                <w:rFonts w:ascii="Calibri" w:hAnsi="Calibri" w:cs="Arial"/>
                <w:color w:val="262626"/>
                <w:sz w:val="20"/>
                <w:szCs w:val="20"/>
              </w:rPr>
              <w:t xml:space="preserve"> la Guía 1.5 planificaba los endpoints FHIR para la etapa post-prototipo. Se adelantó una implementación inicial al Sprint 3: el backend expone los eventos como recursos Observation y Bundle FHIR R4, validados en la prueba PI-04. Queda pendiente el recurso Patient seudonimizado (Sprint 4).</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OE3, latencia de la alerta (indicador precisado):</w:t>
            </w:r>
            <w:r>
              <w:rPr>
                <w:rFonts w:ascii="Calibri" w:hAnsi="Calibri" w:cs="Arial"/>
                <w:color w:val="262626"/>
                <w:sz w:val="20"/>
                <w:szCs w:val="20"/>
              </w:rPr>
              <w:t xml:space="preserve"> se mantiene la meta de menos de 1 s, pero se precisa su condición de medición. Con backend y base de datos en regiones distintas (Render en EE. UU. y Supabase en Brasil), la alerta tarda en promedio 1.577 ms; con ambos en la misma máquina (AWS EC2), tarda 216 ms y cumple la meta en el 100 % de los casos. La meta se evaluará en una infraestructura con backend y base de datos en la misma región.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Alcance:</w:t>
            </w:r>
            <w:r>
              <w:rPr>
                <w:rFonts w:ascii="Calibri" w:hAnsi="Calibri" w:cs="Arial"/>
                <w:color w:val="262626"/>
                <w:sz w:val="20"/>
                <w:szCs w:val="20"/>
              </w:rPr>
              <w:t xml:space="preserve"> la detección con Machine Learning (Isolation Forest) y el botón de pánico portátil se mantienen como trabajo futuro. Para la pulsera se definió una ruta en tres etapas: hardware abierto existente, luego una pulsera propia con ESP32.</w:t>
            </w:r>
          </w:p>
        </w:tc>
      </w:tr>
      <w:tr w:rsidR="0003309E" w14:paraId="2FEF1C0D" w14:textId="77777777" w:rsidTr="000A1331">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after="100" w:before="0" w:line="264" w:lineRule="auto"/>
              <w:jc w:val="both"/>
            </w:pPr>
            <w:r>
              <w:rPr>
                <w:rFonts w:ascii="Calibri" w:hAnsi="Calibri" w:cs="Arial"/>
                <w:color w:val="262626"/>
                <w:sz w:val="20"/>
                <w:szCs w:val="20"/>
              </w:rPr>
              <w:t xml:space="preserve">Se mantiene Scrum adaptado a un desarrollador, con seis sprints de tres semanas. Los ajustes son: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Registro del trabajo:</w:t>
            </w:r>
            <w:r>
              <w:rPr>
                <w:rFonts w:ascii="Calibri" w:hAnsi="Calibri" w:cs="Arial"/>
                <w:color w:val="262626"/>
                <w:sz w:val="20"/>
                <w:szCs w:val="20"/>
              </w:rPr>
              <w:t xml:space="preserve"> la bitácora en Obsidian no pudo usarse con la cuenta institucional. Se reemplazó por artefactos dentro del repositorio GitHub: fichas de sprint y retrospectivas, Definition of Done y registro de pruebas. Los Sprints 1 a 3 se reconstruyeron a partir del historial de commits.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Tablero Kanban:</w:t>
            </w:r>
            <w:r>
              <w:rPr>
                <w:rFonts w:ascii="Calibri" w:hAnsi="Calibri" w:cs="Arial"/>
                <w:color w:val="262626"/>
                <w:sz w:val="20"/>
                <w:szCs w:val="20"/>
              </w:rPr>
              <w:t xml:space="preserve"> el Product Backlog se gestiona en GitHub Projects, ahora con acceso público para su revisión.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reproducibles:</w:t>
            </w:r>
            <w:r>
              <w:rPr>
                <w:rFonts w:ascii="Calibri" w:hAnsi="Calibri" w:cs="Arial"/>
                <w:color w:val="262626"/>
                <w:sz w:val="20"/>
                <w:szCs w:val="20"/>
              </w:rPr>
              <w:t xml:space="preserve"> cada prueba se ejecuta con un script versionado (por ejemplo, PR-01_latencia.js y PI-04_validacion_fhir.py) y queda registrada con fecha, resultado y evidencia.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Entornos de prueba comparativos:</w:t>
            </w:r>
            <w:r>
              <w:rPr>
                <w:rFonts w:ascii="Calibri" w:hAnsi="Calibri" w:cs="Arial"/>
                <w:color w:val="262626"/>
                <w:sz w:val="20"/>
                <w:szCs w:val="20"/>
              </w:rPr>
              <w:t xml:space="preserve"> se incorporó un entorno de prueba con Docker en AWS EC2 para comparar el comportamiento del sistema frente a Render + Supabase. Se planifica un tercer entorno en Oracle Cloud (región Santiago) para el Sprint 4. Estos entornos son experimentales y no definen aún la arquitectura de producción.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Verificación de despliegues:</w:t>
            </w:r>
            <w:r>
              <w:rPr>
                <w:rFonts w:ascii="Calibri" w:hAnsi="Calibri" w:cs="Arial"/>
                <w:color w:val="262626"/>
                <w:sz w:val="20"/>
                <w:szCs w:val="20"/>
              </w:rPr>
              <w:t xml:space="preserve"> después de cada git push se revisa que Vercel y Render queden publicados, como resultado de la retrospectiva del Sprint 3.</w:t>
            </w:r>
          </w:p>
        </w:tc>
      </w:tr>
      <w:tr w:rsidR="0003309E" w14:paraId="74E704B1" w14:textId="77777777" w:rsidTr="000A1331">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100" w:before="0" w:line="264" w:lineRule="auto"/>
              <w:jc w:val="both"/>
            </w:pPr>
            <w:r>
              <w:rPr>
                <w:rFonts w:ascii="Calibri" w:hAnsi="Calibri" w:cs="Arial"/>
                <w:color w:val="262626"/>
                <w:sz w:val="20"/>
                <w:szCs w:val="20"/>
              </w:rPr>
              <w:t xml:space="preserve">Se presentan diez evidencias (Tabla 1), seleccionadas porque demuestran con datos medibles el avance de cada objetivo específico y del proceso ágil. Todas están disponibles en el repositorio GitHub (carpeta docs/fase2/evidencias_proyecto) y en el sistema publicado; las principales se adjuntan a continuación como Figuras 1 a 12.</w:t>
            </w:r>
          </w:p>
          <w:p>
            <w:pPr>
              <w:spacing w:after="100" w:before="0" w:line="264" w:lineRule="auto"/>
              <w:jc w:val="both"/>
            </w:pPr>
            <w:r>
              <w:rPr>
                <w:rFonts w:ascii="Calibri" w:hAnsi="Calibri" w:cs="Arial"/>
                <w:b/>
                <w:color w:val="262626"/>
                <w:sz w:val="20"/>
                <w:szCs w:val="20"/>
              </w:rPr>
              <w:t xml:space="preserve">Resguardo de la calidad.</w:t>
            </w:r>
            <w:r>
              <w:rPr>
                <w:rFonts w:ascii="Calibri" w:hAnsi="Calibri" w:cs="Arial"/>
                <w:color w:val="262626"/>
                <w:sz w:val="20"/>
                <w:szCs w:val="20"/>
              </w:rPr>
              <w:t xml:space="preserve"> La calidad del proyecto se resguardó con prácticas propias de la ingeniería de software: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Definition of Done de 7 criterios, usada como referencia para dar por terminada cada historia de usuario.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Control de versiones en GitHub, con commits descriptivos que, desde el Sprint 3, usan en su mayoría los prefijos feat, fix, docs y perf.</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Pruebas planificadas (unitarias, de integración y de rendimiento) con metas medibles, ejecutadas con scripts reproducibles y registradas con fecha y resultado. La prueba PR-01 se repitió después del ajuste para comprobar su efecto.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Privacidad por diseño: seudonimización, RLS y notificaciones sin datos sensibles.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Estándares abiertos: HL7 FHIR R4, SNOMED CT y LOINC.</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Registro honesto de los hallazgos: se documentaron también los resultados que no cumplen la meta (latencia en Render) y las brechas de seguridad detectadas (API sin autenticación, falta de https en AWS), cada una con su plan de acción.</w:t>
            </w:r>
          </w:p>
        </w:tc>
      </w:tr>
    </w:tbl>
    <w:p>
      <w:pPr>
        <w:spacing w:after="100" w:before="0" w:line="264" w:lineRule="auto"/>
        <w:jc w:val="both"/>
      </w:pPr>
    </w:p>
    <w:p>
      <w:pPr>
        <w:keepNext/>
        <w:spacing w:after="80" w:before="120" w:line="264" w:lineRule="auto"/>
        <w:jc w:val="left"/>
      </w:pPr>
      <w:r>
        <w:rPr>
          <w:rFonts w:ascii="Calibri" w:hAnsi="Calibri" w:cs="Arial"/>
          <w:b/>
          <w:color w:val="1F3864"/>
          <w:sz w:val="20"/>
          <w:szCs w:val="20"/>
        </w:rPr>
        <w:t xml:space="preserve">Tabla 1. Evidencias de avance del proyecto DomoVida</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700"/>
        <w:gridCol w:w="3200"/>
        <w:gridCol w:w="4100"/>
        <w:gridCol w:w="1000"/>
      </w:tblGrid>
      <w:tr>
        <w:trPr>
          <w:tblHeader/>
        </w:trPr>
        <w:tc>
          <w:tcPr>
            <w:tcW w:w="700" w:type="dxa"/>
            <w:shd w:val="clear" w:color="auto" w:fill="D9E2F3"/>
          </w:tcPr>
          <w:p>
            <w:pPr>
              <w:spacing w:after="40" w:before="0" w:line="264" w:lineRule="auto"/>
              <w:jc w:val="center"/>
            </w:pPr>
            <w:r>
              <w:rPr>
                <w:rFonts w:ascii="Calibri" w:hAnsi="Calibri" w:cs="Arial"/>
                <w:b/>
                <w:color w:val="1F3864"/>
                <w:sz w:val="18"/>
                <w:szCs w:val="18"/>
              </w:rPr>
              <w:t xml:space="preserve">N°</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Evidencia</w:t>
            </w:r>
          </w:p>
        </w:tc>
        <w:tc>
          <w:tcPr>
            <w:tcW w:w="4100" w:type="dxa"/>
            <w:shd w:val="clear" w:color="auto" w:fill="D9E2F3"/>
          </w:tcPr>
          <w:p>
            <w:pPr>
              <w:spacing w:after="40" w:before="0" w:line="264" w:lineRule="auto"/>
              <w:jc w:val="center"/>
            </w:pPr>
            <w:r>
              <w:rPr>
                <w:rFonts w:ascii="Calibri" w:hAnsi="Calibri" w:cs="Arial"/>
                <w:b/>
                <w:color w:val="1F3864"/>
                <w:sz w:val="18"/>
                <w:szCs w:val="18"/>
              </w:rPr>
              <w:t xml:space="preserve">Qué demuestra</w:t>
            </w:r>
          </w:p>
        </w:tc>
        <w:tc>
          <w:tcPr>
            <w:tcW w:w="1000" w:type="dxa"/>
            <w:shd w:val="clear" w:color="auto" w:fill="D9E2F3"/>
          </w:tcPr>
          <w:p>
            <w:pPr>
              <w:spacing w:after="40" w:before="0" w:line="264" w:lineRule="auto"/>
              <w:jc w:val="center"/>
            </w:pPr>
            <w:r>
              <w:rPr>
                <w:rFonts w:ascii="Calibri" w:hAnsi="Calibri" w:cs="Arial"/>
                <w:b/>
                <w:color w:val="1F3864"/>
                <w:sz w:val="18"/>
                <w:szCs w:val="18"/>
              </w:rPr>
              <w:t xml:space="preserve">OE</w:t>
            </w:r>
          </w:p>
        </w:tc>
      </w:tr>
      <w:tr>
        <w:tc>
          <w:tcPr>
            <w:tcW w:w="700" w:type="dxa"/>
          </w:tcPr>
          <w:p>
            <w:pPr>
              <w:spacing w:after="40" w:before="0" w:line="264" w:lineRule="auto"/>
              <w:jc w:val="left"/>
            </w:pPr>
            <w:r>
              <w:rPr>
                <w:rFonts w:ascii="Calibri" w:hAnsi="Calibri" w:cs="Arial"/>
                <w:color w:val="262626"/>
                <w:sz w:val="18"/>
                <w:szCs w:val="18"/>
              </w:rPr>
              <w:t xml:space="preserve">E1</w:t>
            </w:r>
          </w:p>
        </w:tc>
        <w:tc>
          <w:tcPr>
            <w:tcW w:w="3200" w:type="dxa"/>
          </w:tcPr>
          <w:p>
            <w:pPr>
              <w:spacing w:after="40" w:before="0" w:line="264" w:lineRule="auto"/>
              <w:jc w:val="left"/>
            </w:pPr>
            <w:r>
              <w:rPr>
                <w:rFonts w:ascii="Calibri" w:hAnsi="Calibri" w:cs="Arial"/>
                <w:color w:val="262626"/>
                <w:sz w:val="18"/>
                <w:szCs w:val="18"/>
              </w:rPr>
              <w:t xml:space="preserve">Panel en Vercel con datos del simulador (Figura 1)</w:t>
            </w:r>
          </w:p>
        </w:tc>
        <w:tc>
          <w:tcPr>
            <w:tcW w:w="4100" w:type="dxa"/>
          </w:tcPr>
          <w:p>
            <w:pPr>
              <w:spacing w:after="40" w:before="0" w:line="264" w:lineRule="auto"/>
              <w:jc w:val="left"/>
            </w:pPr>
            <w:r>
              <w:rPr>
                <w:rFonts w:ascii="Calibri" w:hAnsi="Calibri" w:cs="Arial"/>
                <w:color w:val="262626"/>
                <w:sz w:val="18"/>
                <w:szCs w:val="18"/>
              </w:rPr>
              <w:t xml:space="preserve">8/8 sensores enviando datos en tiempo real a la nube</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E2</w:t>
            </w:r>
          </w:p>
        </w:tc>
        <w:tc>
          <w:tcPr>
            <w:tcW w:w="3200" w:type="dxa"/>
          </w:tcPr>
          <w:p>
            <w:pPr>
              <w:spacing w:after="40" w:before="0" w:line="264" w:lineRule="auto"/>
              <w:jc w:val="left"/>
            </w:pPr>
            <w:r>
              <w:rPr>
                <w:rFonts w:ascii="Calibri" w:hAnsi="Calibri" w:cs="Arial"/>
                <w:color w:val="262626"/>
                <w:sz w:val="18"/>
                <w:szCs w:val="18"/>
              </w:rPr>
              <w:t xml:space="preserve">Alerta en tiempo real y atención del cuidador (Figuras 2 y 3)</w:t>
            </w:r>
          </w:p>
        </w:tc>
        <w:tc>
          <w:tcPr>
            <w:tcW w:w="4100" w:type="dxa"/>
          </w:tcPr>
          <w:p>
            <w:pPr>
              <w:spacing w:after="40" w:before="0" w:line="264" w:lineRule="auto"/>
              <w:jc w:val="left"/>
            </w:pPr>
            <w:r>
              <w:rPr>
                <w:rFonts w:ascii="Calibri" w:hAnsi="Calibri" w:cs="Arial"/>
                <w:color w:val="262626"/>
                <w:sz w:val="18"/>
                <w:szCs w:val="18"/>
              </w:rPr>
              <w:t xml:space="preserve">Flujo crítico completo: caída → alerta → atención registrada</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E3</w:t>
            </w:r>
          </w:p>
        </w:tc>
        <w:tc>
          <w:tcPr>
            <w:tcW w:w="3200" w:type="dxa"/>
          </w:tcPr>
          <w:p>
            <w:pPr>
              <w:spacing w:after="40" w:before="0" w:line="264" w:lineRule="auto"/>
              <w:jc w:val="left"/>
            </w:pPr>
            <w:r>
              <w:rPr>
                <w:rFonts w:ascii="Calibri" w:hAnsi="Calibri" w:cs="Arial"/>
                <w:color w:val="262626"/>
                <w:sz w:val="18"/>
                <w:szCs w:val="18"/>
              </w:rPr>
              <w:t xml:space="preserve">Notificaciones ntfy en el celular (Figura 4)</w:t>
            </w:r>
          </w:p>
        </w:tc>
        <w:tc>
          <w:tcPr>
            <w:tcW w:w="4100" w:type="dxa"/>
          </w:tcPr>
          <w:p>
            <w:pPr>
              <w:spacing w:after="40" w:before="0" w:line="264" w:lineRule="auto"/>
              <w:jc w:val="left"/>
            </w:pPr>
            <w:r>
              <w:rPr>
                <w:rFonts w:ascii="Calibri" w:hAnsi="Calibri" w:cs="Arial"/>
                <w:color w:val="262626"/>
                <w:sz w:val="18"/>
                <w:szCs w:val="18"/>
              </w:rPr>
              <w:t xml:space="preserve">El aviso llega al celular del cuidador con hora de Chile (recepción verificada visualmente)</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E4</w:t>
            </w:r>
          </w:p>
        </w:tc>
        <w:tc>
          <w:tcPr>
            <w:tcW w:w="3200" w:type="dxa"/>
          </w:tcPr>
          <w:p>
            <w:pPr>
              <w:spacing w:after="40" w:before="0" w:line="264" w:lineRule="auto"/>
              <w:jc w:val="left"/>
            </w:pPr>
            <w:r>
              <w:rPr>
                <w:rFonts w:ascii="Calibri" w:hAnsi="Calibri" w:cs="Arial"/>
                <w:color w:val="262626"/>
                <w:sz w:val="18"/>
                <w:szCs w:val="18"/>
              </w:rPr>
              <w:t xml:space="preserve">Prueba PR-01 en tres mediciones (Figuras 5, 6 y 7)</w:t>
            </w:r>
          </w:p>
        </w:tc>
        <w:tc>
          <w:tcPr>
            <w:tcW w:w="4100" w:type="dxa"/>
          </w:tcPr>
          <w:p>
            <w:pPr>
              <w:spacing w:after="40" w:before="0" w:line="264" w:lineRule="auto"/>
              <w:jc w:val="left"/>
            </w:pPr>
            <w:r>
              <w:rPr>
                <w:rFonts w:ascii="Calibri" w:hAnsi="Calibri" w:cs="Arial"/>
                <w:color w:val="262626"/>
                <w:sz w:val="18"/>
                <w:szCs w:val="18"/>
              </w:rPr>
              <w:t xml:space="preserve">30/30 alertas por WebSocket; latencia de 1.903 → 1.577 ms tras el ajuste y 216 ms en AWS EC2</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E5</w:t>
            </w:r>
          </w:p>
        </w:tc>
        <w:tc>
          <w:tcPr>
            <w:tcW w:w="3200" w:type="dxa"/>
          </w:tcPr>
          <w:p>
            <w:pPr>
              <w:spacing w:after="40" w:before="0" w:line="264" w:lineRule="auto"/>
              <w:jc w:val="left"/>
            </w:pPr>
            <w:r>
              <w:rPr>
                <w:rFonts w:ascii="Calibri" w:hAnsi="Calibri" w:cs="Arial"/>
                <w:color w:val="262626"/>
                <w:sz w:val="18"/>
                <w:szCs w:val="18"/>
              </w:rPr>
              <w:t xml:space="preserve">Trigger de alertas en Supabase, PI-02 (Figura 8)</w:t>
            </w:r>
          </w:p>
        </w:tc>
        <w:tc>
          <w:tcPr>
            <w:tcW w:w="4100" w:type="dxa"/>
          </w:tcPr>
          <w:p>
            <w:pPr>
              <w:spacing w:after="40" w:before="0" w:line="264" w:lineRule="auto"/>
              <w:jc w:val="left"/>
            </w:pPr>
            <w:r>
              <w:rPr>
                <w:rFonts w:ascii="Calibri" w:hAnsi="Calibri" w:cs="Arial"/>
                <w:color w:val="262626"/>
                <w:sz w:val="18"/>
                <w:szCs w:val="18"/>
              </w:rPr>
              <w:t xml:space="preserve">Cada evento crítico genera su alerta automáticamente, con la severidad correcta</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E6</w:t>
            </w:r>
          </w:p>
        </w:tc>
        <w:tc>
          <w:tcPr>
            <w:tcW w:w="3200" w:type="dxa"/>
          </w:tcPr>
          <w:p>
            <w:pPr>
              <w:spacing w:after="40" w:before="0" w:line="264" w:lineRule="auto"/>
              <w:jc w:val="left"/>
            </w:pPr>
            <w:r>
              <w:rPr>
                <w:rFonts w:ascii="Calibri" w:hAnsi="Calibri" w:cs="Arial"/>
                <w:color w:val="262626"/>
                <w:sz w:val="18"/>
                <w:szCs w:val="18"/>
              </w:rPr>
              <w:t xml:space="preserve">RLS con rol anónimo, PI-03 (Figura 9)</w:t>
            </w:r>
          </w:p>
        </w:tc>
        <w:tc>
          <w:tcPr>
            <w:tcW w:w="4100" w:type="dxa"/>
          </w:tcPr>
          <w:p>
            <w:pPr>
              <w:spacing w:after="40" w:before="0" w:line="264" w:lineRule="auto"/>
              <w:jc w:val="left"/>
            </w:pPr>
            <w:r>
              <w:rPr>
                <w:rFonts w:ascii="Calibri" w:hAnsi="Calibri" w:cs="Arial"/>
                <w:color w:val="262626"/>
                <w:sz w:val="18"/>
                <w:szCs w:val="18"/>
              </w:rPr>
              <w:t xml:space="preserve">Un usuario no autorizado no puede leer datos (0 filas)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E7</w:t>
            </w:r>
          </w:p>
        </w:tc>
        <w:tc>
          <w:tcPr>
            <w:tcW w:w="3200" w:type="dxa"/>
          </w:tcPr>
          <w:p>
            <w:pPr>
              <w:spacing w:after="40" w:before="0" w:line="264" w:lineRule="auto"/>
              <w:jc w:val="left"/>
            </w:pPr>
            <w:r>
              <w:rPr>
                <w:rFonts w:ascii="Calibri" w:hAnsi="Calibri" w:cs="Arial"/>
                <w:color w:val="262626"/>
                <w:sz w:val="18"/>
                <w:szCs w:val="18"/>
              </w:rPr>
              <w:t xml:space="preserve">Seudonimización SHA-256, PU-03 (Figura 10)</w:t>
            </w:r>
          </w:p>
        </w:tc>
        <w:tc>
          <w:tcPr>
            <w:tcW w:w="4100" w:type="dxa"/>
          </w:tcPr>
          <w:p>
            <w:pPr>
              <w:spacing w:after="40" w:before="0" w:line="264" w:lineRule="auto"/>
              <w:jc w:val="left"/>
            </w:pPr>
            <w:r>
              <w:rPr>
                <w:rFonts w:ascii="Calibri" w:hAnsi="Calibri" w:cs="Arial"/>
                <w:color w:val="262626"/>
                <w:sz w:val="18"/>
                <w:szCs w:val="18"/>
              </w:rPr>
              <w:t xml:space="preserve">El consentimiento no guarda el RUT en texto plano (principio de seudonimización, Ley N° 21.719)</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E8</w:t>
            </w:r>
          </w:p>
        </w:tc>
        <w:tc>
          <w:tcPr>
            <w:tcW w:w="3200" w:type="dxa"/>
          </w:tcPr>
          <w:p>
            <w:pPr>
              <w:spacing w:after="40" w:before="0" w:line="264" w:lineRule="auto"/>
              <w:jc w:val="left"/>
            </w:pPr>
            <w:r>
              <w:rPr>
                <w:rFonts w:ascii="Calibri" w:hAnsi="Calibri" w:cs="Arial"/>
                <w:color w:val="262626"/>
                <w:sz w:val="18"/>
                <w:szCs w:val="18"/>
              </w:rPr>
              <w:t xml:space="preserve">Bundle HL7 FHIR R4 en producción, PI-04 (Figura 11)</w:t>
            </w:r>
          </w:p>
        </w:tc>
        <w:tc>
          <w:tcPr>
            <w:tcW w:w="4100" w:type="dxa"/>
          </w:tcPr>
          <w:p>
            <w:pPr>
              <w:spacing w:after="40" w:before="0" w:line="264" w:lineRule="auto"/>
              <w:jc w:val="left"/>
            </w:pPr>
            <w:r>
              <w:rPr>
                <w:rFonts w:ascii="Calibri" w:hAnsi="Calibri" w:cs="Arial"/>
                <w:color w:val="262626"/>
                <w:sz w:val="18"/>
                <w:szCs w:val="18"/>
              </w:rPr>
              <w:t xml:space="preserve">Implementación inicial de interoperabilidad: eventos como Observation válidos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E9</w:t>
            </w:r>
          </w:p>
        </w:tc>
        <w:tc>
          <w:tcPr>
            <w:tcW w:w="3200" w:type="dxa"/>
          </w:tcPr>
          <w:p>
            <w:pPr>
              <w:spacing w:after="40" w:before="0" w:line="264" w:lineRule="auto"/>
              <w:jc w:val="left"/>
            </w:pPr>
            <w:r>
              <w:rPr>
                <w:rFonts w:ascii="Calibri" w:hAnsi="Calibri" w:cs="Arial"/>
                <w:color w:val="262626"/>
                <w:sz w:val="18"/>
                <w:szCs w:val="18"/>
              </w:rPr>
              <w:t xml:space="preserve">Tablero Kanban en GitHub Projects (Figura 12)</w:t>
            </w:r>
          </w:p>
        </w:tc>
        <w:tc>
          <w:tcPr>
            <w:tcW w:w="4100" w:type="dxa"/>
          </w:tcPr>
          <w:p>
            <w:pPr>
              <w:spacing w:after="40" w:before="0" w:line="264" w:lineRule="auto"/>
              <w:jc w:val="left"/>
            </w:pPr>
            <w:r>
              <w:rPr>
                <w:rFonts w:ascii="Calibri" w:hAnsi="Calibri" w:cs="Arial"/>
                <w:color w:val="262626"/>
                <w:sz w:val="18"/>
                <w:szCs w:val="18"/>
              </w:rPr>
              <w:t xml:space="preserve">Gestión ágil activa: 8 elementos terminados, 1 en curso y 4 pendientes</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E10</w:t>
            </w:r>
          </w:p>
        </w:tc>
        <w:tc>
          <w:tcPr>
            <w:tcW w:w="3200" w:type="dxa"/>
          </w:tcPr>
          <w:p>
            <w:pPr>
              <w:spacing w:after="40" w:before="0" w:line="264" w:lineRule="auto"/>
              <w:jc w:val="left"/>
            </w:pPr>
            <w:r>
              <w:rPr>
                <w:rFonts w:ascii="Calibri" w:hAnsi="Calibri" w:cs="Arial"/>
                <w:color w:val="262626"/>
                <w:sz w:val="18"/>
                <w:szCs w:val="18"/>
              </w:rPr>
              <w:t xml:space="preserve">Fichas de sprint y retrospectivas (docs/fase2/evidencias_proyecto/documentacion/agil)</w:t>
            </w:r>
          </w:p>
        </w:tc>
        <w:tc>
          <w:tcPr>
            <w:tcW w:w="4100" w:type="dxa"/>
          </w:tcPr>
          <w:p>
            <w:pPr>
              <w:spacing w:after="40" w:before="0" w:line="264" w:lineRule="auto"/>
              <w:jc w:val="left"/>
            </w:pPr>
            <w:r>
              <w:rPr>
                <w:rFonts w:ascii="Calibri" w:hAnsi="Calibri" w:cs="Arial"/>
                <w:color w:val="262626"/>
                <w:sz w:val="18"/>
                <w:szCs w:val="18"/>
              </w:rPr>
              <w:t xml:space="preserve">Ciclo Scrum completo: planificar, ejecutar, revisar y mejorar</w:t>
            </w:r>
          </w:p>
        </w:tc>
        <w:tc>
          <w:tcPr>
            <w:tcW w:w="1000" w:type="dxa"/>
          </w:tcPr>
          <w:p>
            <w:pPr>
              <w:spacing w:after="40" w:before="0" w:line="264" w:lineRule="auto"/>
              <w:jc w:val="left"/>
            </w:pPr>
            <w:r>
              <w:rPr>
                <w:rFonts w:ascii="Calibri" w:hAnsi="Calibri" w:cs="Arial"/>
                <w:color w:val="262626"/>
                <w:sz w:val="18"/>
                <w:szCs w:val="18"/>
              </w:rPr>
              <w:t xml:space="preserve">Metodología</w:t>
            </w:r>
          </w:p>
        </w:tc>
      </w:tr>
    </w:tbl>
    <w:p>
      <w:pPr>
        <w:spacing w:after="100" w:before="0" w:line="264" w:lineRule="auto"/>
        <w:jc w:val="both"/>
      </w:pPr>
    </w:p>
    <w:p xmlns:a="http://schemas.openxmlformats.org/drawingml/2006/main" xmlns:pic="http://schemas.openxmlformats.org/drawingml/2006/picture">
      <w:pPr>
        <w:keepNext/>
        <w:spacing w:before="120" w:after="40"/>
        <w:jc w:val="center"/>
      </w:pPr>
      <w:r>
        <w:drawing>
          <wp:inline distT="0" distB="0" distL="0" distR="0">
            <wp:extent cx="4500000" cy="4565625"/>
            <wp:docPr id="101" name="Evidencia 101"/>
            <a:graphic>
              <a:graphicData uri="http://schemas.openxmlformats.org/drawingml/2006/picture">
                <pic:pic>
                  <pic:nvPicPr>
                    <pic:cNvPr id="101" name="evid101.png"/>
                    <pic:cNvPicPr/>
                  </pic:nvPicPr>
                  <pic:blipFill>
                    <a:blip r:embed="rIdImg101"/>
                    <a:stretch>
                      <a:fillRect/>
                    </a:stretch>
                  </pic:blipFill>
                  <pic:spPr>
                    <a:xfrm>
                      <a:off x="0" y="0"/>
                      <a:ext cx="4500000" cy="45656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 Vista general del panel con los 8 sensores en línea y eventos del día (E1).</w:t>
      </w:r>
    </w:p>
    <w:p xmlns:a="http://schemas.openxmlformats.org/drawingml/2006/main" xmlns:pic="http://schemas.openxmlformats.org/drawingml/2006/picture">
      <w:pPr>
        <w:keepNext/>
        <w:spacing w:before="120" w:after="40"/>
        <w:jc w:val="center"/>
      </w:pPr>
      <w:r>
        <w:drawing>
          <wp:inline distT="0" distB="0" distL="0" distR="0">
            <wp:extent cx="3960000" cy="4207500"/>
            <wp:docPr id="102" name="Evidencia 102"/>
            <a:graphic>
              <a:graphicData uri="http://schemas.openxmlformats.org/drawingml/2006/picture">
                <pic:pic>
                  <pic:nvPicPr>
                    <pic:cNvPr id="102" name="evid102.png"/>
                    <pic:cNvPicPr/>
                  </pic:nvPicPr>
                  <pic:blipFill>
                    <a:blip r:embed="rIdImg102"/>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2. Alerta en tiempo real recibida por WebSocket en el panel del cuidador (E2).</w:t>
      </w:r>
    </w:p>
    <w:p xmlns:a="http://schemas.openxmlformats.org/drawingml/2006/main" xmlns:pic="http://schemas.openxmlformats.org/drawingml/2006/picture">
      <w:pPr>
        <w:keepNext/>
        <w:spacing w:before="120" w:after="40"/>
        <w:jc w:val="center"/>
      </w:pPr>
      <w:r>
        <w:drawing>
          <wp:inline distT="0" distB="0" distL="0" distR="0">
            <wp:extent cx="3960000" cy="4207500"/>
            <wp:docPr id="103" name="Evidencia 103"/>
            <a:graphic>
              <a:graphicData uri="http://schemas.openxmlformats.org/drawingml/2006/picture">
                <pic:pic>
                  <pic:nvPicPr>
                    <pic:cNvPr id="103" name="evid103.png"/>
                    <pic:cNvPicPr/>
                  </pic:nvPicPr>
                  <pic:blipFill>
                    <a:blip r:embed="rIdImg103"/>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3. Alertas atendidas por el cuidador, con registro de su estado (E2).</w:t>
      </w:r>
    </w:p>
    <w:p xmlns:a="http://schemas.openxmlformats.org/drawingml/2006/main" xmlns:pic="http://schemas.openxmlformats.org/drawingml/2006/picture">
      <w:pPr>
        <w:keepNext/>
        <w:spacing w:before="120" w:after="40"/>
        <w:jc w:val="center"/>
      </w:pPr>
      <w:r>
        <w:drawing>
          <wp:inline distT="0" distB="0" distL="0" distR="0">
            <wp:extent cx="1980000" cy="4400000"/>
            <wp:docPr id="104" name="Evidencia 104"/>
            <a:graphic>
              <a:graphicData uri="http://schemas.openxmlformats.org/drawingml/2006/picture">
                <pic:pic>
                  <pic:nvPicPr>
                    <pic:cNvPr id="104" name="evid104.png"/>
                    <pic:cNvPicPr/>
                  </pic:nvPicPr>
                  <pic:blipFill>
                    <a:blip r:embed="rIdImg104"/>
                    <a:stretch>
                      <a:fillRect/>
                    </a:stretch>
                  </pic:blipFill>
                  <pic:spPr>
                    <a:xfrm>
                      <a:off x="0" y="0"/>
                      <a:ext cx="1980000" cy="440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4. Notificaciones ntfy de caída recibidas en el celular del cuidador (E3).</w:t>
      </w:r>
    </w:p>
    <w:p xmlns:a="http://schemas.openxmlformats.org/drawingml/2006/main" xmlns:pic="http://schemas.openxmlformats.org/drawingml/2006/picture">
      <w:pPr>
        <w:keepNext/>
        <w:spacing w:before="120" w:after="40"/>
        <w:jc w:val="center"/>
      </w:pPr>
      <w:r>
        <w:drawing>
          <wp:inline distT="0" distB="0" distL="0" distR="0">
            <wp:extent cx="3960000" cy="1564838"/>
            <wp:docPr id="105" name="Evidencia 105"/>
            <a:graphic>
              <a:graphicData uri="http://schemas.openxmlformats.org/drawingml/2006/picture">
                <pic:pic>
                  <pic:nvPicPr>
                    <pic:cNvPr id="105" name="evid105.png"/>
                    <pic:cNvPicPr/>
                  </pic:nvPicPr>
                  <pic:blipFill>
                    <a:blip r:embed="rIdImg105"/>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5. PR-01 en Render + Supabase antes del ajuste: promedio 1.903 ms (E4).</w:t>
      </w:r>
    </w:p>
    <w:p xmlns:a="http://schemas.openxmlformats.org/drawingml/2006/main" xmlns:pic="http://schemas.openxmlformats.org/drawingml/2006/picture">
      <w:pPr>
        <w:keepNext/>
        <w:spacing w:before="120" w:after="40"/>
        <w:jc w:val="center"/>
      </w:pPr>
      <w:r>
        <w:drawing>
          <wp:inline distT="0" distB="0" distL="0" distR="0">
            <wp:extent cx="3960000" cy="1564838"/>
            <wp:docPr id="106" name="Evidencia 106"/>
            <a:graphic>
              <a:graphicData uri="http://schemas.openxmlformats.org/drawingml/2006/picture">
                <pic:pic>
                  <pic:nvPicPr>
                    <pic:cNvPr id="106" name="evid106.png"/>
                    <pic:cNvPicPr/>
                  </pic:nvPicPr>
                  <pic:blipFill>
                    <a:blip r:embed="rIdImg106"/>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6. PR-01 en Render + Supabase después del ajuste: promedio 1.577 ms (E4).</w:t>
      </w:r>
    </w:p>
    <w:p xmlns:a="http://schemas.openxmlformats.org/drawingml/2006/main" xmlns:pic="http://schemas.openxmlformats.org/drawingml/2006/picture">
      <w:pPr>
        <w:keepNext/>
        <w:spacing w:before="120" w:after="40"/>
        <w:jc w:val="center"/>
      </w:pPr>
      <w:r>
        <w:drawing>
          <wp:inline distT="0" distB="0" distL="0" distR="0">
            <wp:extent cx="3960000" cy="1660645"/>
            <wp:docPr id="107" name="Evidencia 107"/>
            <a:graphic>
              <a:graphicData uri="http://schemas.openxmlformats.org/drawingml/2006/picture">
                <pic:pic>
                  <pic:nvPicPr>
                    <pic:cNvPr id="107" name="evid107.png"/>
                    <pic:cNvPicPr/>
                  </pic:nvPicPr>
                  <pic:blipFill>
                    <a:blip r:embed="rIdImg107"/>
                    <a:stretch>
                      <a:fillRect/>
                    </a:stretch>
                  </pic:blipFill>
                  <pic:spPr>
                    <a:xfrm>
                      <a:off x="0" y="0"/>
                      <a:ext cx="3960000" cy="166064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7. PR-01 en AWS EC2 (Docker + SQLite): promedio 216 ms, 30 de 30 bajo 1 s (E4).</w:t>
      </w:r>
    </w:p>
    <w:p xmlns:a="http://schemas.openxmlformats.org/drawingml/2006/main" xmlns:pic="http://schemas.openxmlformats.org/drawingml/2006/picture">
      <w:pPr>
        <w:keepNext/>
        <w:spacing w:before="120" w:after="40"/>
        <w:jc w:val="center"/>
      </w:pPr>
      <w:r>
        <w:drawing>
          <wp:inline distT="0" distB="0" distL="0" distR="0">
            <wp:extent cx="5220000" cy="2773125"/>
            <wp:docPr id="108" name="Evidencia 108"/>
            <a:graphic>
              <a:graphicData uri="http://schemas.openxmlformats.org/drawingml/2006/picture">
                <pic:pic>
                  <pic:nvPicPr>
                    <pic:cNvPr id="108" name="evid108.png"/>
                    <pic:cNvPicPr/>
                  </pic:nvPicPr>
                  <pic:blipFill>
                    <a:blip r:embed="rIdImg108"/>
                    <a:stretch>
                      <a:fillRect/>
                    </a:stretch>
                  </pic:blipFill>
                  <pic:spPr>
                    <a:xfrm>
                      <a:off x="0" y="0"/>
                      <a:ext cx="5220000" cy="27731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8. PI-02: cada evento con alerta tiene su registro en la tabla alertas (E5).</w:t>
      </w:r>
    </w:p>
    <w:p xmlns:a="http://schemas.openxmlformats.org/drawingml/2006/main" xmlns:pic="http://schemas.openxmlformats.org/drawingml/2006/picture">
      <w:pPr>
        <w:keepNext/>
        <w:spacing w:before="120" w:after="40"/>
        <w:jc w:val="center"/>
      </w:pPr>
      <w:r>
        <w:drawing>
          <wp:inline distT="0" distB="0" distL="0" distR="0">
            <wp:extent cx="3420000" cy="3633750"/>
            <wp:docPr id="109" name="Evidencia 109"/>
            <a:graphic>
              <a:graphicData uri="http://schemas.openxmlformats.org/drawingml/2006/picture">
                <pic:pic>
                  <pic:nvPicPr>
                    <pic:cNvPr id="109" name="evid109.png"/>
                    <pic:cNvPicPr/>
                  </pic:nvPicPr>
                  <pic:blipFill>
                    <a:blip r:embed="rIdImg109"/>
                    <a:stretch>
                      <a:fillRect/>
                    </a:stretch>
                  </pic:blipFill>
                  <pic:spPr>
                    <a:xfrm>
                      <a:off x="0" y="0"/>
                      <a:ext cx="3420000" cy="36337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9. PI-03: con el rol anónimo no se ve ninguna fila de eventos ni de alertas (E6).</w:t>
      </w:r>
    </w:p>
    <w:p xmlns:a="http://schemas.openxmlformats.org/drawingml/2006/main" xmlns:pic="http://schemas.openxmlformats.org/drawingml/2006/picture">
      <w:pPr>
        <w:keepNext/>
        <w:spacing w:before="120" w:after="40"/>
        <w:jc w:val="center"/>
      </w:pPr>
      <w:r>
        <w:drawing>
          <wp:inline distT="0" distB="0" distL="0" distR="0">
            <wp:extent cx="4320000" cy="1252173"/>
            <wp:docPr id="110" name="Evidencia 110"/>
            <a:graphic>
              <a:graphicData uri="http://schemas.openxmlformats.org/drawingml/2006/picture">
                <pic:pic>
                  <pic:nvPicPr>
                    <pic:cNvPr id="110" name="evid110.png"/>
                    <pic:cNvPicPr/>
                  </pic:nvPicPr>
                  <pic:blipFill>
                    <a:blip r:embed="rIdImg110"/>
                    <a:stretch>
                      <a:fillRect/>
                    </a:stretch>
                  </pic:blipFill>
                  <pic:spPr>
                    <a:xfrm>
                      <a:off x="0" y="0"/>
                      <a:ext cx="4320000" cy="1252173"/>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line="264" w:lineRule="auto"/>
        <w:jc w:val="center"/>
      </w:pPr>
      <w:r>
        <w:rPr>
          <w:rFonts w:ascii="Calibri" w:hAnsi="Calibri" w:cs="Arial"/>
          <w:i/>
          <w:color w:val="1F3864"/>
          <w:sz w:val="18"/>
          <w:szCs w:val="18"/>
        </w:rPr>
        <w:t xml:space="preserve">Figura 11. Extracto del Bundle FHIR R4 servido en producción por GET /api/fhir/Observation (E8).</w:t>
      </w:r>
    </w:p>
    <w:p xmlns:a="http://schemas.openxmlformats.org/drawingml/2006/main" xmlns:pic="http://schemas.openxmlformats.org/drawingml/2006/picture">
      <w:pPr>
        <w:keepNext/>
        <w:spacing w:before="120" w:after="40"/>
        <w:jc w:val="center"/>
      </w:pPr>
      <w:r>
        <w:drawing>
          <wp:inline distT="0" distB="0" distL="0" distR="0">
            <wp:extent cx="3960000" cy="4329674"/>
            <wp:docPr id="111" name="Evidencia 111"/>
            <a:graphic>
              <a:graphicData uri="http://schemas.openxmlformats.org/drawingml/2006/picture">
                <pic:pic>
                  <pic:nvPicPr>
                    <pic:cNvPr id="111" name="evid111.png"/>
                    <pic:cNvPicPr/>
                  </pic:nvPicPr>
                  <pic:blipFill>
                    <a:blip r:embed="rIdImg111"/>
                    <a:stretch>
                      <a:fillRect/>
                    </a:stretch>
                  </pic:blipFill>
                  <pic:spPr>
                    <a:xfrm>
                      <a:off x="0" y="0"/>
                      <a:ext cx="3960000" cy="4329674"/>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12. Tablero Kanban del proyecto al 2 de octubre de 2026 (E9).</w:t>
      </w:r>
    </w:p>
    <w:p>
      <w:pPr>
        <w:sectPr w:rsidR="0003309E" w:rsidRPr="0003309E">
          <w:headerReference w:type="default" r:id="rId10"/>
          <w:pgSz w:w="11906" w:h="16838"/>
          <w:pgMar w:top="1417" w:right="1701" w:bottom="1417" w:left="1701" w:header="708" w:footer="708" w:gutter="0"/>
          <w:cols w:space="708"/>
          <w:docGrid w:linePitch="360"/>
        </w:sectPr>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1457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2400"/>
        <w:gridCol w:w="1500"/>
        <w:gridCol w:w="1000"/>
        <w:gridCol w:w="1000"/>
        <w:gridCol w:w="1970"/>
        <w:gridCol w:w="1300"/>
        <w:gridCol w:w="3900"/>
      </w:tblGrid>
      <w:tr w:rsidR="00FD5149" w:rsidRPr="006E3B0D" w14:paraId="66FA4353" w14:textId="77777777" w:rsidTr="00EA0C09">
        <w:trPr>
          <w:tblHeader/>
        </w:trPr>
        <w:tc>
          <w:tcPr>
            <w:tcW w:w="1457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blHeader/>
        </w:trPr>
        <w:tc>
          <w:tcPr>
            <w:tcW w:w="15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24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5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00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97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390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1: Levantamiento y planificación.</w:t>
            </w:r>
            <w:r>
              <w:rPr>
                <w:rFonts w:ascii="Calibri" w:hAnsi="Calibri" w:cs="Arial"/>
                <w:color w:val="262626"/>
                <w:sz w:val="17"/>
                <w:szCs w:val="17"/>
              </w:rPr>
              <w:t xml:space="preserve"> Análisis de la problemática, requisitos, historias de usuario, Product Backlog, repositorio y bitácora.</w:t>
            </w:r>
          </w:p>
        </w:tc>
        <w:tc>
          <w:tcPr>
            <w:tcW w:w="1500" w:type="dxa"/>
          </w:tcPr>
          <w:p>
            <w:pPr>
              <w:spacing w:after="40" w:before="0" w:line="264" w:lineRule="auto"/>
              <w:jc w:val="left"/>
            </w:pPr>
            <w:r>
              <w:rPr>
                <w:rFonts w:ascii="Calibri" w:hAnsi="Calibri" w:cs="Arial"/>
                <w:color w:val="262626"/>
                <w:sz w:val="17"/>
                <w:szCs w:val="17"/>
              </w:rPr>
              <w:t xml:space="preserve">GitHub Projects, Git, Obsidian, Conda</w:t>
            </w:r>
          </w:p>
        </w:tc>
        <w:tc>
          <w:tcPr>
            <w:tcW w:w="1000" w:type="dxa"/>
          </w:tcPr>
          <w:p>
            <w:pPr>
              <w:spacing w:after="40" w:before="0" w:line="264" w:lineRule="auto"/>
              <w:jc w:val="left"/>
            </w:pPr>
            <w:r>
              <w:rPr>
                <w:rFonts w:ascii="Calibri" w:hAnsi="Calibri" w:cs="Arial"/>
                <w:color w:val="262626"/>
                <w:sz w:val="17"/>
                <w:szCs w:val="17"/>
              </w:rPr>
              <w:t xml:space="preserve">3 semanas (S1–S3)</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guías de la asignatura y experiencia previa. Obstáculo: requisitos amplios e incorporación tardía (19/08).</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Repositorio creado el 21/08. La bitácora en Obsidian se reemplazó por artefactos en GitHub (ver actividad 7).</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 Construir modelos de datos</w:t>
            </w:r>
          </w:p>
        </w:tc>
        <w:tc>
          <w:tcPr>
            <w:tcW w:w="2400" w:type="dxa"/>
          </w:tcPr>
          <w:p>
            <w:pPr>
              <w:spacing w:after="40" w:before="0" w:line="264" w:lineRule="auto"/>
              <w:jc w:val="left"/>
            </w:pPr>
            <w:r>
              <w:rPr>
                <w:rFonts w:ascii="Calibri" w:hAnsi="Calibri" w:cs="Arial"/>
                <w:b/>
                <w:color w:val="262626"/>
                <w:sz w:val="17"/>
                <w:szCs w:val="17"/>
              </w:rPr>
              <w:t xml:space="preserve">Sprint 2: Diseño de arquitectura y datos.</w:t>
            </w:r>
            <w:r>
              <w:rPr>
                <w:rFonts w:ascii="Calibri" w:hAnsi="Calibri" w:cs="Arial"/>
                <w:color w:val="262626"/>
                <w:sz w:val="17"/>
                <w:szCs w:val="17"/>
              </w:rPr>
              <w:t xml:space="preserve"> Arquitectura Edge-Cloud, flujo crítico, modelo entidad-relación, riesgos, Guía 1.5 y presentación.</w:t>
            </w:r>
          </w:p>
        </w:tc>
        <w:tc>
          <w:tcPr>
            <w:tcW w:w="1500" w:type="dxa"/>
          </w:tcPr>
          <w:p>
            <w:pPr>
              <w:spacing w:after="40" w:before="0" w:line="264" w:lineRule="auto"/>
              <w:jc w:val="left"/>
            </w:pPr>
            <w:r>
              <w:rPr>
                <w:rFonts w:ascii="Calibri" w:hAnsi="Calibri" w:cs="Arial"/>
                <w:color w:val="262626"/>
                <w:sz w:val="17"/>
                <w:szCs w:val="17"/>
              </w:rPr>
              <w:t xml:space="preserve">draw.io, VS Code, PowerPoint</w:t>
            </w:r>
          </w:p>
        </w:tc>
        <w:tc>
          <w:tcPr>
            <w:tcW w:w="1000" w:type="dxa"/>
          </w:tcPr>
          <w:p>
            <w:pPr>
              <w:spacing w:after="40" w:before="0" w:line="264" w:lineRule="auto"/>
              <w:jc w:val="left"/>
            </w:pPr>
            <w:r>
              <w:rPr>
                <w:rFonts w:ascii="Calibri" w:hAnsi="Calibri" w:cs="Arial"/>
                <w:color w:val="262626"/>
                <w:sz w:val="17"/>
                <w:szCs w:val="17"/>
              </w:rPr>
              <w:t xml:space="preserve">3 semanas (S4–S6)</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retroalimentación del profesor guía. Obstáculo: cambios de enfoque.</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En este sprint se adelantó la implementación del OE1. La Guía 1.5 se actualizó a la v7 (02/10), incorporando Docker y una infraestructura AWS para pruebas comparativas.</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3: Captura y detección (OE1).</w:t>
            </w:r>
            <w:r>
              <w:rPr>
                <w:rFonts w:ascii="Calibri" w:hAnsi="Calibri" w:cs="Arial"/>
                <w:color w:val="262626"/>
                <w:sz w:val="17"/>
                <w:szCs w:val="17"/>
              </w:rPr>
              <w:t xml:space="preserve"> Simulador de 8 sensores, reglas de detección, persistencia SQLite3 y API base.</w:t>
            </w:r>
          </w:p>
        </w:tc>
        <w:tc>
          <w:tcPr>
            <w:tcW w:w="1500" w:type="dxa"/>
          </w:tcPr>
          <w:p>
            <w:pPr>
              <w:spacing w:after="40" w:before="0" w:line="264" w:lineRule="auto"/>
              <w:jc w:val="left"/>
            </w:pPr>
            <w:r>
              <w:rPr>
                <w:rFonts w:ascii="Calibri" w:hAnsi="Calibri" w:cs="Arial"/>
                <w:color w:val="262626"/>
                <w:sz w:val="17"/>
                <w:szCs w:val="17"/>
              </w:rPr>
              <w:t xml:space="preserve">Python, FastAPI, SQLite3</w:t>
            </w:r>
          </w:p>
        </w:tc>
        <w:tc>
          <w:tcPr>
            <w:tcW w:w="1000" w:type="dxa"/>
          </w:tcPr>
          <w:p>
            <w:pPr>
              <w:spacing w:after="40" w:before="0" w:line="264" w:lineRule="auto"/>
              <w:jc w:val="left"/>
            </w:pPr>
            <w:r>
              <w:rPr>
                <w:rFonts w:ascii="Calibri" w:hAnsi="Calibri" w:cs="Arial"/>
                <w:color w:val="262626"/>
                <w:sz w:val="17"/>
                <w:szCs w:val="17"/>
              </w:rPr>
              <w:t xml:space="preserve">3 semanas (S7–S9)</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documentación de FastAPI y SQLite. Obstáculo: sin hardware físico (sensores simulados).</w:t>
            </w:r>
          </w:p>
        </w:tc>
        <w:tc>
          <w:tcPr>
            <w:tcW w:w="1300" w:type="dxa"/>
          </w:tcPr>
          <w:p>
            <w:pPr>
              <w:spacing w:after="40" w:before="0" w:line="264" w:lineRule="auto"/>
              <w:jc w:val="left"/>
            </w:pPr>
            <w:r>
              <w:rPr>
                <w:rFonts w:ascii="Calibri" w:hAnsi="Calibri" w:cs="Arial"/>
                <w:b/>
                <w:color w:val="262626"/>
                <w:sz w:val="17"/>
                <w:szCs w:val="17"/>
              </w:rPr>
              <w:t xml:space="preserve">Completado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Implementación terminada durante el Sprint 2. Simulador configurable por variable de entorno para enviar datos a Render o AWS (commit 1c8c203). Pendiente: prueba formal de continuidad sin conexión (corte de 10 min), movida al Sprint 4.</w:t>
            </w:r>
          </w:p>
        </w:tc>
      </w:tr>
      <w:tr>
        <w:tc>
          <w:tcPr>
            <w:tcW w:w="1500" w:type="dxa"/>
          </w:tcPr>
          <w:p>
            <w:pPr>
              <w:spacing w:after="40" w:before="0" w:line="264" w:lineRule="auto"/>
              <w:jc w:val="left"/>
            </w:pPr>
            <w:r>
              <w:rPr>
                <w:rFonts w:ascii="Calibri" w:hAnsi="Calibri" w:cs="Arial"/>
                <w:color w:val="262626"/>
                <w:sz w:val="17"/>
                <w:szCs w:val="17"/>
              </w:rPr>
              <w:t xml:space="preserve">Construir modelos de datos; 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4: Nube, interoperabilidad y panel (OE2 y OE3).</w:t>
            </w:r>
            <w:r>
              <w:rPr>
                <w:rFonts w:ascii="Calibri" w:hAnsi="Calibri" w:cs="Arial"/>
                <w:color w:val="262626"/>
                <w:sz w:val="17"/>
                <w:szCs w:val="17"/>
              </w:rPr>
              <w:t xml:space="preserve"> Supabase, HL7 FHIR, seudonimización, RLS, panel React, WebSocket, ntfy y despliegue.</w:t>
            </w:r>
          </w:p>
        </w:tc>
        <w:tc>
          <w:tcPr>
            <w:tcW w:w="1500" w:type="dxa"/>
          </w:tcPr>
          <w:p>
            <w:pPr>
              <w:spacing w:after="40" w:before="0" w:line="264" w:lineRule="auto"/>
              <w:jc w:val="left"/>
            </w:pPr>
            <w:r>
              <w:rPr>
                <w:rFonts w:ascii="Calibri" w:hAnsi="Calibri" w:cs="Arial"/>
                <w:color w:val="262626"/>
                <w:sz w:val="17"/>
                <w:szCs w:val="17"/>
              </w:rPr>
              <w:t xml:space="preserve">Supabase, Render, Vercel, React, ntfy, Docker, AWS Academy</w:t>
            </w:r>
          </w:p>
        </w:tc>
        <w:tc>
          <w:tcPr>
            <w:tcW w:w="1000" w:type="dxa"/>
          </w:tcPr>
          <w:p>
            <w:pPr>
              <w:spacing w:after="40" w:before="0" w:line="264" w:lineRule="auto"/>
              <w:jc w:val="left"/>
            </w:pPr>
            <w:r>
              <w:rPr>
                <w:rFonts w:ascii="Calibri" w:hAnsi="Calibri" w:cs="Arial"/>
                <w:color w:val="262626"/>
                <w:sz w:val="17"/>
                <w:szCs w:val="17"/>
              </w:rPr>
              <w:t xml:space="preserve">3 semanas (S10–S12)</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planes gratuitos y documentación abierta. Obstáculo: restricciones de red (puerto 5432 bloqueado).</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Ejecutado en gran parte en el Sprint 3. Neon → Supabase (Session Pooler IPv4, puerto 6543). Implementación inicial de HL7 FHIR R4 (Observation y Bundle, PI-04); pendiente el recurso Patient. Envío por WebSocket antes que ntfy (−17 % de latencia). Planificado: despliegue en Oracle Cloud Santiago con https.</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w:t>
            </w:r>
          </w:p>
        </w:tc>
        <w:tc>
          <w:tcPr>
            <w:tcW w:w="2400" w:type="dxa"/>
          </w:tcPr>
          <w:p>
            <w:pPr>
              <w:spacing w:after="40" w:before="0" w:line="264" w:lineRule="auto"/>
              <w:jc w:val="left"/>
            </w:pPr>
            <w:r>
              <w:rPr>
                <w:rFonts w:ascii="Calibri" w:hAnsi="Calibri" w:cs="Arial"/>
                <w:b/>
                <w:color w:val="262626"/>
                <w:sz w:val="17"/>
                <w:szCs w:val="17"/>
              </w:rPr>
              <w:t xml:space="preserve">Sprint 5: Certificación técnica.</w:t>
            </w:r>
            <w:r>
              <w:rPr>
                <w:rFonts w:ascii="Calibri" w:hAnsi="Calibri" w:cs="Arial"/>
                <w:color w:val="262626"/>
                <w:sz w:val="17"/>
                <w:szCs w:val="17"/>
              </w:rPr>
              <w:t xml:space="preserve"> Pruebas de latencia y carga, validación HL7 FHIR y auditoría de datos.</w:t>
            </w:r>
          </w:p>
        </w:tc>
        <w:tc>
          <w:tcPr>
            <w:tcW w:w="1500" w:type="dxa"/>
          </w:tcPr>
          <w:p>
            <w:pPr>
              <w:spacing w:after="40" w:before="0" w:line="264" w:lineRule="auto"/>
              <w:jc w:val="left"/>
            </w:pPr>
            <w:r>
              <w:rPr>
                <w:rFonts w:ascii="Calibri" w:hAnsi="Calibri" w:cs="Arial"/>
                <w:color w:val="262626"/>
                <w:sz w:val="17"/>
                <w:szCs w:val="17"/>
              </w:rPr>
              <w:t xml:space="preserve">Postman, Locust, pytest, validador HL7 FHIR</w:t>
            </w:r>
          </w:p>
        </w:tc>
        <w:tc>
          <w:tcPr>
            <w:tcW w:w="1000" w:type="dxa"/>
          </w:tcPr>
          <w:p>
            <w:pPr>
              <w:spacing w:after="40" w:before="0" w:line="264" w:lineRule="auto"/>
              <w:jc w:val="left"/>
            </w:pPr>
            <w:r>
              <w:rPr>
                <w:rFonts w:ascii="Calibri" w:hAnsi="Calibri" w:cs="Arial"/>
                <w:color w:val="262626"/>
                <w:sz w:val="17"/>
                <w:szCs w:val="17"/>
              </w:rPr>
              <w:t xml:space="preserve">3 semanas (S13–S15)</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herramientas de prueba gratuitas. Obstáculo: falsos positivos en los umbrales.</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Ejecutadas con resultado satisfactorio: PU-03, PI-02, PI-03 y PI-04. PR-01: 30/30 alertas por WebSocket; meta &lt; 1 s cumplida en AWS EC2 (216 ms) y no en Render (1.577 ms). Validación FHIR con la librería fhir.resources. Pendientes: PR-02 (carga con Locust), conteo de entrega ntfy y PS-01 (requiere implementar autenticación).</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 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6: Validación con usuarios y cierre.</w:t>
            </w:r>
            <w:r>
              <w:rPr>
                <w:rFonts w:ascii="Calibri" w:hAnsi="Calibri" w:cs="Arial"/>
                <w:color w:val="262626"/>
                <w:sz w:val="17"/>
                <w:szCs w:val="17"/>
              </w:rPr>
              <w:t xml:space="preserve"> Escala SUS, ajustes, informe final y ensayo de defensa.</w:t>
            </w:r>
          </w:p>
        </w:tc>
        <w:tc>
          <w:tcPr>
            <w:tcW w:w="1500" w:type="dxa"/>
          </w:tcPr>
          <w:p>
            <w:pPr>
              <w:spacing w:after="40" w:before="0" w:line="264" w:lineRule="auto"/>
              <w:jc w:val="left"/>
            </w:pPr>
            <w:r>
              <w:rPr>
                <w:rFonts w:ascii="Calibri" w:hAnsi="Calibri" w:cs="Arial"/>
                <w:color w:val="262626"/>
                <w:sz w:val="17"/>
                <w:szCs w:val="17"/>
              </w:rPr>
              <w:t xml:space="preserve">Google Forms, Word, PowerPoint</w:t>
            </w:r>
          </w:p>
        </w:tc>
        <w:tc>
          <w:tcPr>
            <w:tcW w:w="1000" w:type="dxa"/>
          </w:tcPr>
          <w:p>
            <w:pPr>
              <w:spacing w:after="40" w:before="0" w:line="264" w:lineRule="auto"/>
              <w:jc w:val="left"/>
            </w:pPr>
            <w:r>
              <w:rPr>
                <w:rFonts w:ascii="Calibri" w:hAnsi="Calibri" w:cs="Arial"/>
                <w:color w:val="262626"/>
                <w:sz w:val="17"/>
                <w:szCs w:val="17"/>
              </w:rPr>
              <w:t xml:space="preserve">3 semanas (S16–S18)</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red de contactos con cuidadores. Obstáculo: baja participación.</w:t>
            </w:r>
          </w:p>
        </w:tc>
        <w:tc>
          <w:tcPr>
            <w:tcW w:w="1300" w:type="dxa"/>
          </w:tcPr>
          <w:p>
            <w:pPr>
              <w:spacing w:after="40" w:before="0" w:line="264" w:lineRule="auto"/>
              <w:jc w:val="left"/>
            </w:pPr>
            <w:r>
              <w:rPr>
                <w:rFonts w:ascii="Calibri" w:hAnsi="Calibri" w:cs="Arial"/>
                <w:b/>
                <w:color w:val="262626"/>
                <w:sz w:val="17"/>
                <w:szCs w:val="17"/>
              </w:rPr>
              <w:t xml:space="preserve">No iniciado</w:t>
            </w:r>
          </w:p>
        </w:tc>
        <w:tc>
          <w:tcPr>
            <w:tcW w:w="3900" w:type="dxa"/>
          </w:tcPr>
          <w:p>
            <w:pPr>
              <w:spacing w:after="40" w:before="0" w:line="264" w:lineRule="auto"/>
              <w:jc w:val="left"/>
            </w:pPr>
            <w:r>
              <w:rPr>
                <w:rFonts w:ascii="Calibri" w:hAnsi="Calibri" w:cs="Arial"/>
                <w:color w:val="262626"/>
                <w:sz w:val="17"/>
                <w:szCs w:val="17"/>
              </w:rPr>
              <w:t xml:space="preserve">Sin ajustes: se mantiene la Escala SUS con 5 a 10 cuidadores y la convocatoria desde la semana 13.</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Transversal: documentación y seguimiento.</w:t>
            </w:r>
            <w:r>
              <w:rPr>
                <w:rFonts w:ascii="Calibri" w:hAnsi="Calibri" w:cs="Arial"/>
                <w:color w:val="262626"/>
                <w:sz w:val="17"/>
                <w:szCs w:val="17"/>
              </w:rPr>
              <w:t xml:space="preserve"> Bitácora semanal, actualización del backlog y commits.</w:t>
            </w:r>
          </w:p>
        </w:tc>
        <w:tc>
          <w:tcPr>
            <w:tcW w:w="1500" w:type="dxa"/>
          </w:tcPr>
          <w:p>
            <w:pPr>
              <w:spacing w:after="40" w:before="0" w:line="264" w:lineRule="auto"/>
              <w:jc w:val="left"/>
            </w:pPr>
            <w:r>
              <w:rPr>
                <w:rFonts w:ascii="Calibri" w:hAnsi="Calibri" w:cs="Arial"/>
                <w:color w:val="262626"/>
                <w:sz w:val="17"/>
                <w:szCs w:val="17"/>
              </w:rPr>
              <w:t xml:space="preserve">Obsidian, GitHub</w:t>
            </w:r>
          </w:p>
        </w:tc>
        <w:tc>
          <w:tcPr>
            <w:tcW w:w="1000" w:type="dxa"/>
          </w:tcPr>
          <w:p>
            <w:pPr>
              <w:spacing w:after="40" w:before="0" w:line="264" w:lineRule="auto"/>
              <w:jc w:val="left"/>
            </w:pPr>
            <w:r>
              <w:rPr>
                <w:rFonts w:ascii="Calibri" w:hAnsi="Calibri" w:cs="Arial"/>
                <w:color w:val="262626"/>
                <w:sz w:val="17"/>
                <w:szCs w:val="17"/>
              </w:rPr>
              <w:t xml:space="preserve">18 semanas</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registro continuo del avance. Obstáculo: carga académica y laboral.</w:t>
            </w:r>
          </w:p>
        </w:tc>
        <w:tc>
          <w:tcPr>
            <w:tcW w:w="1300" w:type="dxa"/>
          </w:tcPr>
          <w:p>
            <w:pPr>
              <w:spacing w:after="40" w:before="0" w:line="264" w:lineRule="auto"/>
              <w:jc w:val="left"/>
            </w:pPr>
            <w:r>
              <w:rPr>
                <w:rFonts w:ascii="Calibri" w:hAnsi="Calibri" w:cs="Arial"/>
                <w:b/>
                <w:color w:val="262626"/>
                <w:sz w:val="17"/>
                <w:szCs w:val="17"/>
              </w:rPr>
              <w:t xml:space="preserve">Ajustada</w:t>
            </w:r>
            <w:r>
              <w:rPr>
                <w:rFonts w:ascii="Calibri" w:hAnsi="Calibri" w:cs="Arial"/>
                <w:color w:val="262626"/>
                <w:sz w:val="17"/>
                <w:szCs w:val="17"/>
              </w:rPr>
              <w:t xml:space="preserve"> (tuvo retraso)</w:t>
            </w:r>
          </w:p>
        </w:tc>
        <w:tc>
          <w:tcPr>
            <w:tcW w:w="3900" w:type="dxa"/>
          </w:tcPr>
          <w:p>
            <w:pPr>
              <w:spacing w:after="40" w:before="0" w:line="264" w:lineRule="auto"/>
              <w:jc w:val="left"/>
            </w:pPr>
            <w:r>
              <w:rPr>
                <w:rFonts w:ascii="Calibri" w:hAnsi="Calibri" w:cs="Arial"/>
                <w:color w:val="262626"/>
                <w:sz w:val="17"/>
                <w:szCs w:val="17"/>
              </w:rPr>
              <w:t xml:space="preserve">Obsidian no estuvo disponible con la cuenta institucional. Se reemplazó por fichas de sprint y retrospectivas reconstruidas desde los commits (01/10), el tablero Kanban público y actualizado (02/10) y el registro de pruebas. Desde el 02/10: verificación de despliegues después de cada push y actualización semanal del tablero.</w:t>
            </w:r>
          </w:p>
        </w:tc>
      </w:tr>
    </w:tbl>
    <w:p>
      <w:pPr>
        <w:spacing w:after="0" w:before="0" w:line="264" w:lineRule="auto"/>
        <w:jc w:val="both"/>
      </w:pPr>
      <w:r>
        <w:rPr>
          <w:rFonts w:ascii="Calibri" w:hAnsi="Calibri" w:cs="Arial"/>
          <w:i/>
          <w:color w:val="1F3864"/>
          <w:sz w:val="17"/>
          <w:szCs w:val="17"/>
        </w:rPr>
        <w:t xml:space="preserve">Estados según la plantilla: En curso / Con retraso / No iniciado / Completado / Ajustada. Responsable único: proyecto APT individual.</w:t>
      </w:r>
    </w:p>
    <w:p>
      <w:pPr>
        <w:sectPr w:rsidR="0003309E" w:rsidRPr="0003309E">
          <w:headerReference w:type="default" r:id="rId10"/>
          <w:pgSz w:w="16838" w:h="11906" w:orient="landscape"/>
          <w:pgMar w:top="1417" w:right="1134" w:bottom="1417" w:left="1134" w:header="708" w:footer="708" w:gutter="0"/>
          <w:cols w:space="708"/>
          <w:docGrid w:linePitch="360"/>
        </w:sect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Factores que han facilitado y/o dificultado el desarrollo de mi plan de trabajo</w:t>
            </w:r>
          </w:p>
          <w:p>
            <w:pPr>
              <w:spacing w:after="100" w:before="0" w:line="264" w:lineRule="auto"/>
              <w:jc w:val="both"/>
            </w:pPr>
            <w:r>
              <w:rPr>
                <w:rFonts w:ascii="Calibri" w:hAnsi="Calibri" w:cs="Arial"/>
                <w:b/>
                <w:color w:val="262626"/>
                <w:sz w:val="20"/>
                <w:szCs w:val="20"/>
              </w:rPr>
              <w:t xml:space="preserve">Facilitadores: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Mi formación previa como Tecnólogo en Informática Biomédica, que me permitió entender el dominio de salud y sus estándares (HL7 FHIR, SNOMED CT, LOINC).</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retroalimentación continua del profesor guía, incluso a distancia: el envío de avances cuando no puedo asistir a clases me permite validar decisiones sin esperar a la siguiente sesión.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Los planes gratuitos de Render, Vercel y Supabase, y los créditos de AWS Academy (USD 50, con un gasto menor a USD 0,10).</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documentación abierta de FastAPI y React.</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El historial de commits de GitHub, que permitió reconstruir y trazar los principales avances técnicos.</w:t>
            </w:r>
          </w:p>
          <w:p>
            <w:pPr>
              <w:spacing w:after="100" w:before="80" w:line="264" w:lineRule="auto"/>
              <w:jc w:val="both"/>
            </w:pPr>
            <w:r>
              <w:rPr>
                <w:rFonts w:ascii="Calibri" w:hAnsi="Calibri" w:cs="Arial"/>
                <w:b/>
                <w:color w:val="262626"/>
                <w:sz w:val="20"/>
                <w:szCs w:val="20"/>
              </w:rPr>
              <w:t xml:space="preserve">Dificultades y acciones tomadas: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900"/>
              <w:gridCol w:w="4300"/>
            </w:tblGrid>
            <w:tr>
              <w:trPr>
                <w:tblHeader/>
              </w:trPr>
              <w:tc>
                <w:tcPr>
                  <w:tcW w:w="3900" w:type="dxa"/>
                  <w:shd w:val="clear" w:color="auto" w:fill="D9E2F3"/>
                </w:tcPr>
                <w:p>
                  <w:pPr>
                    <w:spacing w:after="40" w:before="0" w:line="264" w:lineRule="auto"/>
                    <w:jc w:val="center"/>
                  </w:pPr>
                  <w:r>
                    <w:rPr>
                      <w:rFonts w:ascii="Calibri" w:hAnsi="Calibri" w:cs="Arial"/>
                      <w:b/>
                      <w:color w:val="1F3864"/>
                      <w:sz w:val="18"/>
                      <w:szCs w:val="18"/>
                    </w:rPr>
                    <w:t xml:space="preserve">Dificultad</w:t>
                  </w:r>
                </w:p>
              </w:tc>
              <w:tc>
                <w:tcPr>
                  <w:tcW w:w="4300" w:type="dxa"/>
                  <w:shd w:val="clear" w:color="auto" w:fill="D9E2F3"/>
                </w:tcPr>
                <w:p>
                  <w:pPr>
                    <w:spacing w:after="40" w:before="0" w:line="264" w:lineRule="auto"/>
                    <w:jc w:val="center"/>
                  </w:pPr>
                  <w:r>
                    <w:rPr>
                      <w:rFonts w:ascii="Calibri" w:hAnsi="Calibri" w:cs="Arial"/>
                      <w:b/>
                      <w:color w:val="1F3864"/>
                      <w:sz w:val="18"/>
                      <w:szCs w:val="18"/>
                    </w:rPr>
                    <w:t xml:space="preserve">Acción tomada o planificada</w:t>
                  </w:r>
                </w:p>
              </w:tc>
            </w:tr>
            <w:tr>
              <w:tc>
                <w:tcPr>
                  <w:tcW w:w="3900" w:type="dxa"/>
                </w:tcPr>
                <w:p>
                  <w:pPr>
                    <w:spacing w:after="40" w:before="0" w:line="264" w:lineRule="auto"/>
                    <w:jc w:val="left"/>
                  </w:pPr>
                  <w:r>
                    <w:rPr>
                      <w:rFonts w:ascii="Calibri" w:hAnsi="Calibri" w:cs="Arial"/>
                      <w:color w:val="262626"/>
                      <w:sz w:val="18"/>
                      <w:szCs w:val="18"/>
                    </w:rPr>
                    <w:t xml:space="preserve">Incorporación tardía a la asignatura (19/08, una semana después del inicio).</w:t>
                  </w:r>
                </w:p>
              </w:tc>
              <w:tc>
                <w:tcPr>
                  <w:tcW w:w="4300" w:type="dxa"/>
                </w:tcPr>
                <w:p>
                  <w:pPr>
                    <w:spacing w:after="40" w:before="0" w:line="264" w:lineRule="auto"/>
                    <w:jc w:val="left"/>
                  </w:pPr>
                  <w:r>
                    <w:rPr>
                      <w:rFonts w:ascii="Calibri" w:hAnsi="Calibri" w:cs="Arial"/>
                      <w:color w:val="262626"/>
                      <w:sz w:val="18"/>
                      <w:szCs w:val="18"/>
                    </w:rPr>
                    <w:t xml:space="preserve">Creación inmediata del repositorio y priorización del backlog en el flujo crítico (caídas y emergencias).</w:t>
                  </w:r>
                </w:p>
              </w:tc>
            </w:tr>
            <w:tr>
              <w:tc>
                <w:tcPr>
                  <w:tcW w:w="3900" w:type="dxa"/>
                </w:tcPr>
                <w:p>
                  <w:pPr>
                    <w:spacing w:after="40" w:before="0" w:line="264" w:lineRule="auto"/>
                    <w:jc w:val="left"/>
                  </w:pPr>
                  <w:r>
                    <w:rPr>
                      <w:rFonts w:ascii="Calibri" w:hAnsi="Calibri" w:cs="Arial"/>
                      <w:color w:val="262626"/>
                      <w:sz w:val="18"/>
                      <w:szCs w:val="18"/>
                    </w:rPr>
                    <w:t xml:space="preserve">Carga laboral en turnos rotativos.</w:t>
                  </w:r>
                </w:p>
              </w:tc>
              <w:tc>
                <w:tcPr>
                  <w:tcW w:w="4300" w:type="dxa"/>
                </w:tcPr>
                <w:p>
                  <w:pPr>
                    <w:spacing w:after="40" w:before="0" w:line="264" w:lineRule="auto"/>
                    <w:jc w:val="left"/>
                  </w:pPr>
                  <w:r>
                    <w:rPr>
                      <w:rFonts w:ascii="Calibri" w:hAnsi="Calibri" w:cs="Arial"/>
                      <w:color w:val="262626"/>
                      <w:sz w:val="18"/>
                      <w:szCs w:val="18"/>
                    </w:rPr>
                    <w:t xml:space="preserve">Organización del trabajo mediante bloques fijos concentrados en los días libres.</w:t>
                  </w:r>
                </w:p>
              </w:tc>
            </w:tr>
            <w:tr>
              <w:tc>
                <w:tcPr>
                  <w:tcW w:w="3900" w:type="dxa"/>
                </w:tcPr>
                <w:p>
                  <w:pPr>
                    <w:spacing w:after="40" w:before="0" w:line="264" w:lineRule="auto"/>
                    <w:jc w:val="left"/>
                  </w:pPr>
                  <w:r>
                    <w:rPr>
                      <w:rFonts w:ascii="Calibri" w:hAnsi="Calibri" w:cs="Arial"/>
                      <w:color w:val="262626"/>
                      <w:sz w:val="18"/>
                      <w:szCs w:val="18"/>
                    </w:rPr>
                    <w:t xml:space="preserve">El proveedor de internet bloquea el puerto 5432 de PostgreSQL.</w:t>
                  </w:r>
                </w:p>
              </w:tc>
              <w:tc>
                <w:tcPr>
                  <w:tcW w:w="4300" w:type="dxa"/>
                </w:tcPr>
                <w:p>
                  <w:pPr>
                    <w:spacing w:after="40" w:before="0" w:line="264" w:lineRule="auto"/>
                    <w:jc w:val="left"/>
                  </w:pPr>
                  <w:r>
                    <w:rPr>
                      <w:rFonts w:ascii="Calibri" w:hAnsi="Calibri" w:cs="Arial"/>
                      <w:color w:val="262626"/>
                      <w:sz w:val="18"/>
                      <w:szCs w:val="18"/>
                    </w:rPr>
                    <w:t xml:space="preserve">Cambio de Neon a Supabase con Session Pooler IPv4 (puerto 6543).</w:t>
                  </w:r>
                </w:p>
              </w:tc>
            </w:tr>
            <w:tr>
              <w:tc>
                <w:tcPr>
                  <w:tcW w:w="3900" w:type="dxa"/>
                </w:tcPr>
                <w:p>
                  <w:pPr>
                    <w:spacing w:after="40" w:before="0" w:line="264" w:lineRule="auto"/>
                    <w:jc w:val="left"/>
                  </w:pPr>
                  <w:r>
                    <w:rPr>
                      <w:rFonts w:ascii="Calibri" w:hAnsi="Calibri" w:cs="Arial"/>
                      <w:color w:val="262626"/>
                      <w:sz w:val="18"/>
                      <w:szCs w:val="18"/>
                    </w:rPr>
                    <w:t xml:space="preserve">Límites de los planes gratuitos: Supabase se pausó por inactividad, Render suspende el servidor sin uso y 7 despliegues de Vercel fallaron sin detectarse.</w:t>
                  </w:r>
                </w:p>
              </w:tc>
              <w:tc>
                <w:tcPr>
                  <w:tcW w:w="4300" w:type="dxa"/>
                </w:tcPr>
                <w:p>
                  <w:pPr>
                    <w:spacing w:after="40" w:before="0" w:line="264" w:lineRule="auto"/>
                    <w:jc w:val="left"/>
                  </w:pPr>
                  <w:r>
                    <w:rPr>
                      <w:rFonts w:ascii="Calibri" w:hAnsi="Calibri" w:cs="Arial"/>
                      <w:color w:val="262626"/>
                      <w:sz w:val="18"/>
                      <w:szCs w:val="18"/>
                    </w:rPr>
                    <w:t xml:space="preserve">Reactivación de Supabase, corrección del build (commit 9b07078) y nueva práctica: verificar el despliegue después de cada push y abrir el panel cada semana.</w:t>
                  </w:r>
                </w:p>
              </w:tc>
            </w:tr>
            <w:tr>
              <w:tc>
                <w:tcPr>
                  <w:tcW w:w="3900" w:type="dxa"/>
                </w:tcPr>
                <w:p>
                  <w:pPr>
                    <w:spacing w:after="40" w:before="0" w:line="264" w:lineRule="auto"/>
                    <w:jc w:val="left"/>
                  </w:pPr>
                  <w:r>
                    <w:rPr>
                      <w:rFonts w:ascii="Calibri" w:hAnsi="Calibri" w:cs="Arial"/>
                      <w:color w:val="262626"/>
                      <w:sz w:val="18"/>
                      <w:szCs w:val="18"/>
                    </w:rPr>
                    <w:t xml:space="preserve">Latencia alta por la distancia entre servicios (Render en EE. UU. y Supabase en Brasil).</w:t>
                  </w:r>
                </w:p>
              </w:tc>
              <w:tc>
                <w:tcPr>
                  <w:tcW w:w="4300" w:type="dxa"/>
                </w:tcPr>
                <w:p>
                  <w:pPr>
                    <w:spacing w:after="40" w:before="0" w:line="264" w:lineRule="auto"/>
                    <w:jc w:val="left"/>
                  </w:pPr>
                  <w:r>
                    <w:rPr>
                      <w:rFonts w:ascii="Calibri" w:hAnsi="Calibri" w:cs="Arial"/>
                      <w:color w:val="262626"/>
                      <w:sz w:val="18"/>
                      <w:szCs w:val="18"/>
                    </w:rPr>
                    <w:t xml:space="preserve">Comparación medida en un entorno de prueba en AWS EC2 (216 ms) y despliegue planificado en Oracle Cloud Santiago.</w:t>
                  </w:r>
                </w:p>
              </w:tc>
            </w:tr>
            <w:tr>
              <w:tc>
                <w:tcPr>
                  <w:tcW w:w="3900" w:type="dxa"/>
                </w:tcPr>
                <w:p>
                  <w:pPr>
                    <w:spacing w:after="40" w:before="0" w:line="264" w:lineRule="auto"/>
                    <w:jc w:val="left"/>
                  </w:pPr>
                  <w:r>
                    <w:rPr>
                      <w:rFonts w:ascii="Calibri" w:hAnsi="Calibri" w:cs="Arial"/>
                      <w:color w:val="262626"/>
                      <w:sz w:val="18"/>
                      <w:szCs w:val="18"/>
                    </w:rPr>
                    <w:t xml:space="preserve">Brechas de seguridad detectadas al probar: la API no tiene autenticación y en AWS falta https.</w:t>
                  </w:r>
                </w:p>
              </w:tc>
              <w:tc>
                <w:tcPr>
                  <w:tcW w:w="4300" w:type="dxa"/>
                </w:tcPr>
                <w:p>
                  <w:pPr>
                    <w:spacing w:after="40" w:before="0" w:line="264" w:lineRule="auto"/>
                    <w:jc w:val="left"/>
                  </w:pPr>
                  <w:r>
                    <w:rPr>
                      <w:rFonts w:ascii="Calibri" w:hAnsi="Calibri" w:cs="Arial"/>
                      <w:color w:val="262626"/>
                      <w:sz w:val="18"/>
                      <w:szCs w:val="18"/>
                    </w:rPr>
                    <w:t xml:space="preserve">Planificadas para el Sprint 4: clave de API para sensores, Supabase Auth para el panel y certificado TLS.</w:t>
                  </w:r>
                </w:p>
              </w:tc>
            </w:tr>
            <w:tr>
              <w:tc>
                <w:tcPr>
                  <w:tcW w:w="3900" w:type="dxa"/>
                </w:tcPr>
                <w:p>
                  <w:pPr>
                    <w:spacing w:after="40" w:before="0" w:line="264" w:lineRule="auto"/>
                    <w:jc w:val="left"/>
                  </w:pPr>
                  <w:r>
                    <w:rPr>
                      <w:rFonts w:ascii="Calibri" w:hAnsi="Calibri" w:cs="Arial"/>
                      <w:color w:val="262626"/>
                      <w:sz w:val="18"/>
                      <w:szCs w:val="18"/>
                    </w:rPr>
                    <w:t xml:space="preserve">Obsidian no disponible con la cuenta institucional.</w:t>
                  </w:r>
                </w:p>
              </w:tc>
              <w:tc>
                <w:tcPr>
                  <w:tcW w:w="4300" w:type="dxa"/>
                </w:tcPr>
                <w:p>
                  <w:pPr>
                    <w:spacing w:after="40" w:before="0" w:line="264" w:lineRule="auto"/>
                    <w:jc w:val="left"/>
                  </w:pPr>
                  <w:r>
                    <w:rPr>
                      <w:rFonts w:ascii="Calibri" w:hAnsi="Calibri" w:cs="Arial"/>
                      <w:color w:val="262626"/>
                      <w:sz w:val="18"/>
                      <w:szCs w:val="18"/>
                    </w:rPr>
                    <w:t xml:space="preserve">Registro del trabajo dentro del repositorio GitHub.</w:t>
                  </w:r>
                </w:p>
              </w:tc>
            </w:tr>
          </w:tbl>
          <w:p>
            <w:pPr>
              <w:spacing w:after="100" w:before="0" w:line="264" w:lineRule="auto"/>
              <w:jc w:val="both"/>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ajustadas o eliminadas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HL7 FHIR (adelantada):</w:t>
            </w:r>
            <w:r>
              <w:rPr>
                <w:rFonts w:ascii="Calibri" w:hAnsi="Calibri" w:cs="Arial"/>
                <w:color w:val="262626"/>
                <w:sz w:val="20"/>
                <w:szCs w:val="20"/>
              </w:rPr>
              <w:t xml:space="preserve"> se realizó una implementación inicial en el Sprint 3, en vez del Sprint 4 o la etapa post-prototipo, porque el backend ya estaba estable y la interoperabilidad es un requisito clave para integrarse con sistemas de salud.</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Bitácora en Obsidian (eliminada y reemplazada):</w:t>
            </w:r>
            <w:r>
              <w:rPr>
                <w:rFonts w:ascii="Calibri" w:hAnsi="Calibri" w:cs="Arial"/>
                <w:color w:val="262626"/>
                <w:sz w:val="20"/>
                <w:szCs w:val="20"/>
              </w:rPr>
              <w:t xml:space="preserve"> se reemplazó por fichas de sprint, retrospectivas, registro de pruebas y tablero Kanban en GitHub, una herramienta más trazable y accesible para el docente.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con Docker en AWS EC2 (agregada):</w:t>
            </w:r>
            <w:r>
              <w:rPr>
                <w:rFonts w:ascii="Calibri" w:hAnsi="Calibri" w:cs="Arial"/>
                <w:color w:val="262626"/>
                <w:sz w:val="20"/>
                <w:szCs w:val="20"/>
              </w:rPr>
              <w:t xml:space="preserve"> se incorporó como entorno de prueba para comparar el comportamiento del sistema.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en Oracle Cloud Santiago (agregada, planificada para el Sprint 4):</w:t>
            </w:r>
            <w:r>
              <w:rPr>
                <w:rFonts w:ascii="Calibri" w:hAnsi="Calibri" w:cs="Arial"/>
                <w:color w:val="262626"/>
                <w:sz w:val="20"/>
                <w:szCs w:val="20"/>
              </w:rPr>
              <w:t xml:space="preserve"> a partir de la comparación de latencias, busca acercar el servidor a los usuarios en Chile, con https y sin costo.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Orden de las notificaciones (ajustada):</w:t>
            </w:r>
            <w:r>
              <w:rPr>
                <w:rFonts w:ascii="Calibri" w:hAnsi="Calibri" w:cs="Arial"/>
                <w:color w:val="262626"/>
                <w:sz w:val="20"/>
                <w:szCs w:val="20"/>
              </w:rPr>
              <w:t xml:space="preserve"> el WebSocket se envía antes que ntfy, lo que redujo la latencia en 17 %.</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Validación FHIR (ajustada):</w:t>
            </w:r>
            <w:r>
              <w:rPr>
                <w:rFonts w:ascii="Calibri" w:hAnsi="Calibri" w:cs="Arial"/>
                <w:color w:val="262626"/>
                <w:sz w:val="20"/>
                <w:szCs w:val="20"/>
              </w:rPr>
              <w:t xml:space="preserve"> se usa la librería fhir.resources, basada en los modelos oficiales FHIR R4, en lugar del validador oficial de HL7, lo que permite automatizar la prueba.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que no has iniciado o están retrasadas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500"/>
              <w:gridCol w:w="2500"/>
              <w:gridCol w:w="3200"/>
            </w:tblGrid>
            <w:tr>
              <w:trPr>
                <w:tblHeader/>
              </w:trPr>
              <w:tc>
                <w:tcPr>
                  <w:tcW w:w="2500" w:type="dxa"/>
                  <w:shd w:val="clear" w:color="auto" w:fill="D9E2F3"/>
                </w:tcPr>
                <w:p>
                  <w:pPr>
                    <w:spacing w:after="40" w:before="0" w:line="264" w:lineRule="auto"/>
                    <w:jc w:val="center"/>
                  </w:pPr>
                  <w:r>
                    <w:rPr>
                      <w:rFonts w:ascii="Calibri" w:hAnsi="Calibri" w:cs="Arial"/>
                      <w:b/>
                      <w:color w:val="1F3864"/>
                      <w:sz w:val="18"/>
                      <w:szCs w:val="18"/>
                    </w:rPr>
                    <w:t xml:space="preserve">Actividad</w:t>
                  </w:r>
                </w:p>
              </w:tc>
              <w:tc>
                <w:tcPr>
                  <w:tcW w:w="2500" w:type="dxa"/>
                  <w:shd w:val="clear" w:color="auto" w:fill="D9E2F3"/>
                </w:tcPr>
                <w:p>
                  <w:pPr>
                    <w:spacing w:after="40" w:before="0" w:line="264" w:lineRule="auto"/>
                    <w:jc w:val="center"/>
                  </w:pPr>
                  <w:r>
                    <w:rPr>
                      <w:rFonts w:ascii="Calibri" w:hAnsi="Calibri" w:cs="Arial"/>
                      <w:b/>
                      <w:color w:val="1F3864"/>
                      <w:sz w:val="18"/>
                      <w:szCs w:val="18"/>
                    </w:rPr>
                    <w:t xml:space="preserve">Motivo</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Estrategia</w:t>
                  </w:r>
                </w:p>
              </w:tc>
            </w:tr>
            <w:tr>
              <w:tc>
                <w:tcPr>
                  <w:tcW w:w="2500" w:type="dxa"/>
                </w:tcPr>
                <w:p>
                  <w:pPr>
                    <w:spacing w:after="40" w:before="0" w:line="264" w:lineRule="auto"/>
                    <w:jc w:val="left"/>
                  </w:pPr>
                  <w:r>
                    <w:rPr>
                      <w:rFonts w:ascii="Calibri" w:hAnsi="Calibri" w:cs="Arial"/>
                      <w:color w:val="262626"/>
                      <w:sz w:val="18"/>
                      <w:szCs w:val="18"/>
                    </w:rPr>
                    <w:t xml:space="preserve">Prueba de continuidad sin conexión (OE1)</w:t>
                  </w:r>
                </w:p>
              </w:tc>
              <w:tc>
                <w:tcPr>
                  <w:tcW w:w="2500" w:type="dxa"/>
                </w:tcPr>
                <w:p>
                  <w:pPr>
                    <w:spacing w:after="40" w:before="0" w:line="264" w:lineRule="auto"/>
                    <w:jc w:val="left"/>
                  </w:pPr>
                  <w:r>
                    <w:rPr>
                      <w:rFonts w:ascii="Calibri" w:hAnsi="Calibri" w:cs="Arial"/>
                      <w:color w:val="262626"/>
                      <w:sz w:val="18"/>
                      <w:szCs w:val="18"/>
                    </w:rPr>
                    <w:t xml:space="preserve">Se priorizó el despliegue en la nube.</w:t>
                  </w:r>
                </w:p>
              </w:tc>
              <w:tc>
                <w:tcPr>
                  <w:tcW w:w="3200" w:type="dxa"/>
                </w:tcPr>
                <w:p>
                  <w:pPr>
                    <w:spacing w:after="40" w:before="0" w:line="264" w:lineRule="auto"/>
                    <w:jc w:val="left"/>
                  </w:pPr>
                  <w:r>
                    <w:rPr>
                      <w:rFonts w:ascii="Calibri" w:hAnsi="Calibri" w:cs="Arial"/>
                      <w:color w:val="262626"/>
                      <w:sz w:val="18"/>
                      <w:szCs w:val="18"/>
                    </w:rPr>
                    <w:t xml:space="preserve">Sprint 4 (S10): corte de red de 10 minutos y verificación de la sincronización.</w:t>
                  </w:r>
                </w:p>
              </w:tc>
            </w:tr>
            <w:tr>
              <w:tc>
                <w:tcPr>
                  <w:tcW w:w="2500" w:type="dxa"/>
                </w:tcPr>
                <w:p>
                  <w:pPr>
                    <w:spacing w:after="40" w:before="0" w:line="264" w:lineRule="auto"/>
                    <w:jc w:val="left"/>
                  </w:pPr>
                  <w:r>
                    <w:rPr>
                      <w:rFonts w:ascii="Calibri" w:hAnsi="Calibri" w:cs="Arial"/>
                      <w:color w:val="262626"/>
                      <w:sz w:val="18"/>
                      <w:szCs w:val="18"/>
                    </w:rPr>
                    <w:t xml:space="preserve">Conteo formal de entrega ntfy (meta &gt; 95 %)</w:t>
                  </w:r>
                </w:p>
              </w:tc>
              <w:tc>
                <w:tcPr>
                  <w:tcW w:w="2500" w:type="dxa"/>
                </w:tcPr>
                <w:p>
                  <w:pPr>
                    <w:spacing w:after="40" w:before="0" w:line="264" w:lineRule="auto"/>
                    <w:jc w:val="left"/>
                  </w:pPr>
                  <w:r>
                    <w:rPr>
                      <w:rFonts w:ascii="Calibri" w:hAnsi="Calibri" w:cs="Arial"/>
                      <w:color w:val="262626"/>
                      <w:sz w:val="18"/>
                      <w:szCs w:val="18"/>
                    </w:rPr>
                    <w:t xml:space="preserve">En PR-01 se verificó la recepción visualmente, sin conteo.</w:t>
                  </w:r>
                </w:p>
              </w:tc>
              <w:tc>
                <w:tcPr>
                  <w:tcW w:w="3200" w:type="dxa"/>
                </w:tcPr>
                <w:p>
                  <w:pPr>
                    <w:spacing w:after="40" w:before="0" w:line="264" w:lineRule="auto"/>
                    <w:jc w:val="left"/>
                  </w:pPr>
                  <w:r>
                    <w:rPr>
                      <w:rFonts w:ascii="Calibri" w:hAnsi="Calibri" w:cs="Arial"/>
                      <w:color w:val="262626"/>
                      <w:sz w:val="18"/>
                      <w:szCs w:val="18"/>
                    </w:rPr>
                    <w:t xml:space="preserve">Sprint 4: 30 caídas con conteo de avisos recibidos en el celular.</w:t>
                  </w:r>
                </w:p>
              </w:tc>
            </w:tr>
            <w:tr>
              <w:tc>
                <w:tcPr>
                  <w:tcW w:w="2500" w:type="dxa"/>
                </w:tcPr>
                <w:p>
                  <w:pPr>
                    <w:spacing w:after="40" w:before="0" w:line="264" w:lineRule="auto"/>
                    <w:jc w:val="left"/>
                  </w:pPr>
                  <w:r>
                    <w:rPr>
                      <w:rFonts w:ascii="Calibri" w:hAnsi="Calibri" w:cs="Arial"/>
                      <w:color w:val="262626"/>
                      <w:sz w:val="18"/>
                      <w:szCs w:val="18"/>
                    </w:rPr>
                    <w:t xml:space="preserve">Recurso FHIR Patient seudonimizado</w:t>
                  </w:r>
                </w:p>
              </w:tc>
              <w:tc>
                <w:tcPr>
                  <w:tcW w:w="2500" w:type="dxa"/>
                </w:tcPr>
                <w:p>
                  <w:pPr>
                    <w:spacing w:after="40" w:before="0" w:line="264" w:lineRule="auto"/>
                    <w:jc w:val="left"/>
                  </w:pPr>
                  <w:r>
                    <w:rPr>
                      <w:rFonts w:ascii="Calibri" w:hAnsi="Calibri" w:cs="Arial"/>
                      <w:color w:val="262626"/>
                      <w:sz w:val="18"/>
                      <w:szCs w:val="18"/>
                    </w:rPr>
                    <w:t xml:space="preserve">Se priorizó Observation (los eventos).</w:t>
                  </w:r>
                </w:p>
              </w:tc>
              <w:tc>
                <w:tcPr>
                  <w:tcW w:w="3200" w:type="dxa"/>
                </w:tcPr>
                <w:p>
                  <w:pPr>
                    <w:spacing w:after="40" w:before="0" w:line="264" w:lineRule="auto"/>
                    <w:jc w:val="left"/>
                  </w:pPr>
                  <w:r>
                    <w:rPr>
                      <w:rFonts w:ascii="Calibri" w:hAnsi="Calibri" w:cs="Arial"/>
                      <w:color w:val="262626"/>
                      <w:sz w:val="18"/>
                      <w:szCs w:val="18"/>
                    </w:rPr>
                    <w:t xml:space="preserve">Sprint 4, con la misma validación de PI-04.</w:t>
                  </w:r>
                </w:p>
              </w:tc>
            </w:tr>
            <w:tr>
              <w:tc>
                <w:tcPr>
                  <w:tcW w:w="2500" w:type="dxa"/>
                </w:tcPr>
                <w:p>
                  <w:pPr>
                    <w:spacing w:after="40" w:before="0" w:line="264" w:lineRule="auto"/>
                    <w:jc w:val="left"/>
                  </w:pPr>
                  <w:r>
                    <w:rPr>
                      <w:rFonts w:ascii="Calibri" w:hAnsi="Calibri" w:cs="Arial"/>
                      <w:color w:val="262626"/>
                      <w:sz w:val="18"/>
                      <w:szCs w:val="18"/>
                    </w:rPr>
                    <w:t xml:space="preserve">Autenticación de la API (PS-01)</w:t>
                  </w:r>
                </w:p>
              </w:tc>
              <w:tc>
                <w:tcPr>
                  <w:tcW w:w="2500" w:type="dxa"/>
                </w:tcPr>
                <w:p>
                  <w:pPr>
                    <w:spacing w:after="40" w:before="0" w:line="264" w:lineRule="auto"/>
                    <w:jc w:val="left"/>
                  </w:pPr>
                  <w:r>
                    <w:rPr>
                      <w:rFonts w:ascii="Calibri" w:hAnsi="Calibri" w:cs="Arial"/>
                      <w:color w:val="262626"/>
                      <w:sz w:val="18"/>
                      <w:szCs w:val="18"/>
                    </w:rPr>
                    <w:t xml:space="preserve">Se detectó al preparar la prueba.</w:t>
                  </w:r>
                </w:p>
              </w:tc>
              <w:tc>
                <w:tcPr>
                  <w:tcW w:w="3200" w:type="dxa"/>
                </w:tcPr>
                <w:p>
                  <w:pPr>
                    <w:spacing w:after="40" w:before="0" w:line="264" w:lineRule="auto"/>
                    <w:jc w:val="left"/>
                  </w:pPr>
                  <w:r>
                    <w:rPr>
                      <w:rFonts w:ascii="Calibri" w:hAnsi="Calibri" w:cs="Arial"/>
                      <w:color w:val="262626"/>
                      <w:sz w:val="18"/>
                      <w:szCs w:val="18"/>
                    </w:rPr>
                    <w:t xml:space="preserve">Sprint 4, antes de ejecutar PS-01.</w:t>
                  </w:r>
                </w:p>
              </w:tc>
            </w:tr>
            <w:tr>
              <w:tc>
                <w:tcPr>
                  <w:tcW w:w="2500" w:type="dxa"/>
                </w:tcPr>
                <w:p>
                  <w:pPr>
                    <w:spacing w:after="40" w:before="0" w:line="264" w:lineRule="auto"/>
                    <w:jc w:val="left"/>
                  </w:pPr>
                  <w:r>
                    <w:rPr>
                      <w:rFonts w:ascii="Calibri" w:hAnsi="Calibri" w:cs="Arial"/>
                      <w:color w:val="262626"/>
                      <w:sz w:val="18"/>
                      <w:szCs w:val="18"/>
                    </w:rPr>
                    <w:t xml:space="preserve">Prueba de carga con Locust (PR-02)</w:t>
                  </w:r>
                </w:p>
              </w:tc>
              <w:tc>
                <w:tcPr>
                  <w:tcW w:w="2500" w:type="dxa"/>
                </w:tcPr>
                <w:p>
                  <w:pPr>
                    <w:spacing w:after="40" w:before="0" w:line="264" w:lineRule="auto"/>
                    <w:jc w:val="left"/>
                  </w:pPr>
                  <w:r>
                    <w:rPr>
                      <w:rFonts w:ascii="Calibri" w:hAnsi="Calibri" w:cs="Arial"/>
                      <w:color w:val="262626"/>
                      <w:sz w:val="18"/>
                      <w:szCs w:val="18"/>
                    </w:rPr>
                    <w:t xml:space="preserve">Planificada para el Sprint 5.</w:t>
                  </w:r>
                </w:p>
              </w:tc>
              <w:tc>
                <w:tcPr>
                  <w:tcW w:w="3200" w:type="dxa"/>
                </w:tcPr>
                <w:p>
                  <w:pPr>
                    <w:spacing w:after="40" w:before="0" w:line="264" w:lineRule="auto"/>
                    <w:jc w:val="left"/>
                  </w:pPr>
                  <w:r>
                    <w:rPr>
                      <w:rFonts w:ascii="Calibri" w:hAnsi="Calibri" w:cs="Arial"/>
                      <w:color w:val="262626"/>
                      <w:sz w:val="18"/>
                      <w:szCs w:val="18"/>
                    </w:rPr>
                    <w:t xml:space="preserve">Se mantiene en S13–S15.</w:t>
                  </w:r>
                </w:p>
              </w:tc>
            </w:tr>
            <w:tr>
              <w:tc>
                <w:tcPr>
                  <w:tcW w:w="2500" w:type="dxa"/>
                </w:tcPr>
                <w:p>
                  <w:pPr>
                    <w:spacing w:after="40" w:before="0" w:line="264" w:lineRule="auto"/>
                    <w:jc w:val="left"/>
                  </w:pPr>
                  <w:r>
                    <w:rPr>
                      <w:rFonts w:ascii="Calibri" w:hAnsi="Calibri" w:cs="Arial"/>
                      <w:color w:val="262626"/>
                      <w:sz w:val="18"/>
                      <w:szCs w:val="18"/>
                    </w:rPr>
                    <w:t xml:space="preserve">Escala SUS (HU-12)</w:t>
                  </w:r>
                </w:p>
              </w:tc>
              <w:tc>
                <w:tcPr>
                  <w:tcW w:w="2500" w:type="dxa"/>
                </w:tcPr>
                <w:p>
                  <w:pPr>
                    <w:spacing w:after="40" w:before="0" w:line="264" w:lineRule="auto"/>
                    <w:jc w:val="left"/>
                  </w:pPr>
                  <w:r>
                    <w:rPr>
                      <w:rFonts w:ascii="Calibri" w:hAnsi="Calibri" w:cs="Arial"/>
                      <w:color w:val="262626"/>
                      <w:sz w:val="18"/>
                      <w:szCs w:val="18"/>
                    </w:rPr>
                    <w:t xml:space="preserve">Planificada para el Sprint 6.</w:t>
                  </w:r>
                </w:p>
              </w:tc>
              <w:tc>
                <w:tcPr>
                  <w:tcW w:w="3200" w:type="dxa"/>
                </w:tcPr>
                <w:p>
                  <w:pPr>
                    <w:spacing w:after="40" w:before="0" w:line="264" w:lineRule="auto"/>
                    <w:jc w:val="left"/>
                  </w:pPr>
                  <w:r>
                    <w:rPr>
                      <w:rFonts w:ascii="Calibri" w:hAnsi="Calibri" w:cs="Arial"/>
                      <w:color w:val="262626"/>
                      <w:sz w:val="18"/>
                      <w:szCs w:val="18"/>
                    </w:rPr>
                    <w:t xml:space="preserve">Convocatoria de 5 a 10 cuidadores desde S13.</w:t>
                  </w:r>
                </w:p>
              </w:tc>
            </w:tr>
            <w:tr>
              <w:tc>
                <w:tcPr>
                  <w:tcW w:w="2500" w:type="dxa"/>
                </w:tcPr>
                <w:p>
                  <w:pPr>
                    <w:spacing w:after="40" w:before="0" w:line="264" w:lineRule="auto"/>
                    <w:jc w:val="left"/>
                  </w:pPr>
                  <w:r>
                    <w:rPr>
                      <w:rFonts w:ascii="Calibri" w:hAnsi="Calibri" w:cs="Arial"/>
                      <w:color w:val="262626"/>
                      <w:sz w:val="18"/>
                      <w:szCs w:val="18"/>
                    </w:rPr>
                    <w:t xml:space="preserve">Bitácora (con retraso)</w:t>
                  </w:r>
                </w:p>
              </w:tc>
              <w:tc>
                <w:tcPr>
                  <w:tcW w:w="2500" w:type="dxa"/>
                </w:tcPr>
                <w:p>
                  <w:pPr>
                    <w:spacing w:after="40" w:before="0" w:line="264" w:lineRule="auto"/>
                    <w:jc w:val="left"/>
                  </w:pPr>
                  <w:r>
                    <w:rPr>
                      <w:rFonts w:ascii="Calibri" w:hAnsi="Calibri" w:cs="Arial"/>
                      <w:color w:val="262626"/>
                      <w:sz w:val="18"/>
                      <w:szCs w:val="18"/>
                    </w:rPr>
                    <w:t xml:space="preserve">Herramienta no disponible.</w:t>
                  </w:r>
                </w:p>
              </w:tc>
              <w:tc>
                <w:tcPr>
                  <w:tcW w:w="3200" w:type="dxa"/>
                </w:tcPr>
                <w:p>
                  <w:pPr>
                    <w:spacing w:after="40" w:before="0" w:line="264" w:lineRule="auto"/>
                    <w:jc w:val="left"/>
                  </w:pPr>
                  <w:r>
                    <w:rPr>
                      <w:rFonts w:ascii="Calibri" w:hAnsi="Calibri" w:cs="Arial"/>
                      <w:color w:val="262626"/>
                      <w:sz w:val="18"/>
                      <w:szCs w:val="18"/>
                    </w:rPr>
                    <w:t xml:space="preserve">Resuelto: registro reconstruido el 01/10 y actualización semanal desde el 02/10.</w:t>
                  </w:r>
                </w:p>
              </w:tc>
            </w:tr>
          </w:tbl>
          <w:p>
            <w:pPr>
              <w:spacing w:after="100" w:before="0" w:line="264" w:lineRule="auto"/>
              <w:jc w:val="both"/>
            </w:pPr>
          </w:p>
        </w:tc>
      </w:tr>
    </w:tbl>
    <w:p w14:paraId="23A72E3B" w14:textId="77777777" w:rsidR="0003309E" w:rsidRPr="0003309E" w:rsidRDefault="0003309E">
      <w:pPr>
        <w:rPr>
          <w:lang w:val="es-ES"/>
        </w:rPr>
      </w:pP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4. Conclusions</w:t>
            </w:r>
          </w:p>
        </w:tc>
      </w:tr>
    </w:tbl>
    <w:p>
      <w:pPr>
        <w:spacing w:after="100" w:before="120" w:line="264" w:lineRule="auto"/>
        <w:jc w:val="both"/>
      </w:pPr>
      <w:r>
        <w:rPr>
          <w:rFonts w:ascii="Calibri" w:hAnsi="Calibri" w:cs="Arial"/>
          <w:color w:val="262626"/>
          <w:sz w:val="20"/>
          <w:szCs w:val="20"/>
        </w:rPr>
        <w:t xml:space="preserve">The DomoVida prototype already covers the critical flow defined in Phase 1: fall, detection, alert and caregiver response. OE1 and OE2 are implemented within the prototype scope, with some validations still pending (the offline continuity test, the FHIR Patient resource and API authentication). OE3 is in progress, with the usability evaluation (SUS) pending as planned.</w:t>
      </w:r>
    </w:p>
    <w:p>
      <w:pPr>
        <w:spacing w:after="100" w:before="0" w:line="264" w:lineRule="auto"/>
        <w:jc w:val="both"/>
      </w:pPr>
      <w:r>
        <w:rPr>
          <w:rFonts w:ascii="Calibri" w:hAnsi="Calibri" w:cs="Arial"/>
          <w:color w:val="262626"/>
          <w:sz w:val="20"/>
          <w:szCs w:val="20"/>
        </w:rPr>
        <w:t xml:space="preserve">The most important finding of this stage came from measuring instead of assuming. The first latency test did not meet the 1-second goal. Analyzing the cause led to two improvements: reordering the notifications (−17% latency) and comparing infrastructures, which reduced the latency to 216 ms on AWS EC2. Testing also revealed security gaps, such as the API not requiring authentication and the lack of HTTPS on EC2. These gaps are now planned for Sprint 4 instead of remaining hidden.</w:t>
      </w:r>
    </w:p>
    <w:p>
      <w:pPr>
        <w:spacing w:after="100" w:before="0" w:line="264" w:lineRule="auto"/>
        <w:jc w:val="both"/>
      </w:pPr>
      <w:r>
        <w:rPr>
          <w:rFonts w:ascii="Calibri" w:hAnsi="Calibri" w:cs="Arial"/>
          <w:color w:val="262626"/>
          <w:sz w:val="20"/>
          <w:szCs w:val="20"/>
        </w:rPr>
        <w:t xml:space="preserve">The main adjustments for the next stage are to deploy the backend and the database in the same region (Oracle Cloud Santiago), complete the pending tests, and keep the agile documentation up to date every week.</w:t>
      </w: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5. Reflection</w:t>
            </w:r>
          </w:p>
        </w:tc>
      </w:tr>
    </w:tbl>
    <w:p>
      <w:pPr>
        <w:spacing w:after="100" w:before="120" w:line="264" w:lineRule="auto"/>
        <w:jc w:val="both"/>
      </w:pPr>
      <w:r>
        <w:rPr>
          <w:rFonts w:ascii="Calibri" w:hAnsi="Calibri" w:cs="Arial"/>
          <w:color w:val="262626"/>
          <w:sz w:val="20"/>
          <w:szCs w:val="20"/>
        </w:rPr>
        <w:t xml:space="preserve">This phase taught me that a working prototype is not the same as a validated one. Some of my most valuable results came from tests that failed, such as the latency goal on Render, the consent process tested over plain HTTP, or the free database that paused itself. Each failure forced me to understand my own system more deeply.</w:t>
      </w:r>
    </w:p>
    <w:p>
      <w:pPr>
        <w:spacing w:after="100" w:before="0" w:line="264" w:lineRule="auto"/>
        <w:jc w:val="both"/>
      </w:pPr>
      <w:r>
        <w:rPr>
          <w:rFonts w:ascii="Calibri" w:hAnsi="Calibri" w:cs="Arial"/>
          <w:color w:val="262626"/>
          <w:sz w:val="20"/>
          <w:szCs w:val="20"/>
        </w:rPr>
        <w:t xml:space="preserve">I also learned the value of documenting while working. I did not keep a weekly log, and rebuilding three sprints from commits took a full day. That is why I now update the Kanban board and the test record as part of each task, not at the end.</w:t>
      </w:r>
    </w:p>
    <w:p>
      <w:pPr>
        <w:spacing w:after="100" w:before="0" w:line="264" w:lineRule="auto"/>
        <w:jc w:val="both"/>
      </w:pPr>
      <w:r>
        <w:rPr>
          <w:rFonts w:ascii="Calibri" w:hAnsi="Calibri" w:cs="Arial"/>
          <w:color w:val="262626"/>
          <w:sz w:val="20"/>
          <w:szCs w:val="20"/>
        </w:rPr>
        <w:t xml:space="preserve">Finally, this project confirmed my motivation. Bringing together my background in biomedical informatics and software engineering to support older adults and their caregivers gives meaning to the technical work. It is also the foundation for continuing DomoVida beyond the course.</w:t>
      </w: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Img101" Type="http://schemas.openxmlformats.org/officeDocument/2006/relationships/image" Target="media/evid101.png"/><Relationship Id="rIdImg102" Type="http://schemas.openxmlformats.org/officeDocument/2006/relationships/image" Target="media/evid102.png"/><Relationship Id="rIdImg103" Type="http://schemas.openxmlformats.org/officeDocument/2006/relationships/image" Target="media/evid103.png"/><Relationship Id="rIdImg104" Type="http://schemas.openxmlformats.org/officeDocument/2006/relationships/image" Target="media/evid104.png"/><Relationship Id="rIdImg105" Type="http://schemas.openxmlformats.org/officeDocument/2006/relationships/image" Target="media/evid105.png"/><Relationship Id="rIdImg106" Type="http://schemas.openxmlformats.org/officeDocument/2006/relationships/image" Target="media/evid106.png"/><Relationship Id="rIdImg107" Type="http://schemas.openxmlformats.org/officeDocument/2006/relationships/image" Target="media/evid107.png"/><Relationship Id="rIdImg108" Type="http://schemas.openxmlformats.org/officeDocument/2006/relationships/image" Target="media/evid108.png"/><Relationship Id="rIdImg109" Type="http://schemas.openxmlformats.org/officeDocument/2006/relationships/image" Target="media/evid109.png"/><Relationship Id="rIdImg110" Type="http://schemas.openxmlformats.org/officeDocument/2006/relationships/image" Target="media/evid110.png"/><Relationship Id="rIdImg111" Type="http://schemas.openxmlformats.org/officeDocument/2006/relationships/image" Target="media/evid1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