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16.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y Patient seudonimizado), además de una clave de API para los sensores y el inicio de sesión del cuidador,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and pseudonymized Patient resources), an API key for the sensors and caregiver login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y validado en el alcance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w:t>
            </w:r>
            <w:r>
              <w:rPr>
                <w:rFonts w:ascii="Calibri" w:hAnsi="Calibri" w:cs="Arial"/>
                <w:color w:val="262626"/>
                <w:sz w:val="20"/>
                <w:szCs w:val="20"/>
              </w:rPr>
              <w:t xml:space="preserve"> La API FastAPI (Ramírez, 2023) está desplegada en Render y sincroniza los eventos con Supabase/PostgreSQL (Supabase Inc., 2024). El trigger crear_alerta_automatica genera cada alerta con su severidad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Entre el 03 y el 05/10 se completaron los pendientes: el recurso FHIR Patient seudonimizado, sin nombre, RUT ni dirección (PI-05, 8/8); una clave de API que exigen los sensores (PS-01, 3/3 en producción); el inicio de sesión del cuidador con Supabase Auth para atender alertas, que registra quién atendió cada una (PS-01b, 3/3 en producción), y RLS en la tabla de sensores (PI-03b).</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en la prueba PR-02, los 30 avisos ntfy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quince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16.</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válido y sin datos identificatorios (8/8);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p>
            <w:pPr>
              <w:spacing w:after="100" w:before="0" w:line="264" w:lineRule="auto"/>
              <w:jc w:val="both"/>
            </w:pPr>
          </w:p>
        </w:tc>
      </w:tr>
    </w:tbl>
    <w:p w14:paraId="23A72E3B" w14:textId="77777777" w:rsidR="0003309E" w:rsidRPr="0003309E" w:rsidRDefault="0003309E">
      <w:pPr>
        <w:rPr>
          <w:lang w:val="es-ES"/>
        </w:rPr>
      </w:pPr>
    </w:p>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and validated within the prototype scope: the edge mode kept working without internet (10/10), the FHIR Patient resource is valid (8/8), and both the sensors and the caregiver are now authenticated (3/3 in production).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Referencias</w:t>
            </w:r>
          </w:p>
        </w:tc>
      </w:tr>
    </w:tbl>
    <w:p>
      <w:pPr>
        <w:spacing w:before="0" w:after="120"/>
      </w:pP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