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40"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40" w:lineRule="auto"/>
              <w:jc w:val="center"/>
            </w:pPr>
            <w:r>
              <w:rPr>
                <w:rFonts w:ascii="Calibri" w:hAnsi="Calibri" w:cs="Arial"/>
                <w:b/>
                <w:color w:val="1F3864"/>
                <w:sz w:val="20"/>
                <w:szCs w:val="20"/>
              </w:rPr>
              <w:t xml:space="preserve">Campo</w:t>
            </w:r>
          </w:p>
        </w:tc>
        <w:tc>
          <w:tcPr>
            <w:tcW w:w="6400" w:type="dxa"/>
            <w:shd w:val="clear" w:color="auto" w:fill="D9E2F3"/>
          </w:tcPr>
          <w:p>
            <w:pPr>
              <w:spacing w:after="40" w:before="0" w:line="240" w:lineRule="auto"/>
              <w:jc w:val="center"/>
            </w:pPr>
            <w:r>
              <w:rPr>
                <w:rFonts w:ascii="Calibri" w:hAnsi="Calibri" w:cs="Arial"/>
                <w:b/>
                <w:color w:val="1F3864"/>
                <w:sz w:val="20"/>
                <w:szCs w:val="20"/>
              </w:rPr>
              <w:t xml:space="preserve">Detalle</w:t>
            </w:r>
          </w:p>
        </w:tc>
      </w:tr>
      <w:tr>
        <w:tc>
          <w:tcPr>
            <w:tcW w:w="2600" w:type="dxa"/>
          </w:tcPr>
          <w:p>
            <w:pPr>
              <w:spacing w:after="40" w:before="0" w:line="240" w:lineRule="auto"/>
              <w:jc w:val="left"/>
            </w:pPr>
            <w:r>
              <w:rPr>
                <w:rFonts w:ascii="Calibri" w:hAnsi="Calibri" w:cs="Arial"/>
                <w:color w:val="262626"/>
                <w:sz w:val="20"/>
                <w:szCs w:val="20"/>
              </w:rPr>
              <w:t xml:space="preserve">Estudiante</w:t>
            </w:r>
          </w:p>
        </w:tc>
        <w:tc>
          <w:tcPr>
            <w:tcW w:w="6400" w:type="dxa"/>
          </w:tcPr>
          <w:p>
            <w:pPr>
              <w:spacing w:after="40" w:before="0" w:line="240" w:lineRule="auto"/>
              <w:jc w:val="left"/>
            </w:pPr>
            <w:r>
              <w:rPr>
                <w:rFonts w:ascii="Calibri" w:hAnsi="Calibri" w:cs="Arial"/>
                <w:color w:val="262626"/>
                <w:sz w:val="20"/>
                <w:szCs w:val="20"/>
              </w:rPr>
              <w:t xml:space="preserve">Andrés Rodrigo Vergara Acevedo</w:t>
            </w:r>
          </w:p>
        </w:tc>
      </w:tr>
      <w:tr>
        <w:tc>
          <w:tcPr>
            <w:tcW w:w="2600" w:type="dxa"/>
          </w:tcPr>
          <w:p>
            <w:pPr>
              <w:spacing w:after="40" w:before="0" w:line="240" w:lineRule="auto"/>
              <w:jc w:val="left"/>
            </w:pPr>
            <w:r>
              <w:rPr>
                <w:rFonts w:ascii="Calibri" w:hAnsi="Calibri" w:cs="Arial"/>
                <w:color w:val="262626"/>
                <w:sz w:val="20"/>
                <w:szCs w:val="20"/>
              </w:rPr>
              <w:t xml:space="preserve">Carrera y sede</w:t>
            </w:r>
          </w:p>
        </w:tc>
        <w:tc>
          <w:tcPr>
            <w:tcW w:w="6400" w:type="dxa"/>
          </w:tcPr>
          <w:p>
            <w:pPr>
              <w:spacing w:after="40" w:before="0" w:line="240" w:lineRule="auto"/>
              <w:jc w:val="left"/>
            </w:pPr>
            <w:r>
              <w:rPr>
                <w:rFonts w:ascii="Calibri" w:hAnsi="Calibri" w:cs="Arial"/>
                <w:color w:val="262626"/>
                <w:sz w:val="20"/>
                <w:szCs w:val="20"/>
              </w:rPr>
              <w:t xml:space="preserve">Ingeniería en Informática · Duoc UC, sede Viña del Mar</w:t>
            </w:r>
          </w:p>
        </w:tc>
      </w:tr>
      <w:tr>
        <w:tc>
          <w:tcPr>
            <w:tcW w:w="2600" w:type="dxa"/>
          </w:tcPr>
          <w:p>
            <w:pPr>
              <w:spacing w:after="40" w:before="0" w:line="240" w:lineRule="auto"/>
              <w:jc w:val="left"/>
            </w:pPr>
            <w:r>
              <w:rPr>
                <w:rFonts w:ascii="Calibri" w:hAnsi="Calibri" w:cs="Arial"/>
                <w:color w:val="262626"/>
                <w:sz w:val="20"/>
                <w:szCs w:val="20"/>
              </w:rPr>
              <w:t xml:space="preserve">Asignatura</w:t>
            </w:r>
          </w:p>
        </w:tc>
        <w:tc>
          <w:tcPr>
            <w:tcW w:w="6400" w:type="dxa"/>
          </w:tcPr>
          <w:p>
            <w:pPr>
              <w:spacing w:after="40" w:before="0" w:line="240" w:lineRule="auto"/>
              <w:jc w:val="left"/>
            </w:pPr>
            <w:r>
              <w:rPr>
                <w:rFonts w:ascii="Calibri" w:hAnsi="Calibri" w:cs="Arial"/>
                <w:color w:val="262626"/>
                <w:sz w:val="20"/>
                <w:szCs w:val="20"/>
              </w:rPr>
              <w:t xml:space="preserve">Capstone (PTY4614)</w:t>
            </w:r>
          </w:p>
        </w:tc>
      </w:tr>
      <w:tr>
        <w:tc>
          <w:tcPr>
            <w:tcW w:w="2600" w:type="dxa"/>
          </w:tcPr>
          <w:p>
            <w:pPr>
              <w:spacing w:after="40" w:before="0" w:line="240" w:lineRule="auto"/>
              <w:jc w:val="left"/>
            </w:pPr>
            <w:r>
              <w:rPr>
                <w:rFonts w:ascii="Calibri" w:hAnsi="Calibri" w:cs="Arial"/>
                <w:color w:val="262626"/>
                <w:sz w:val="20"/>
                <w:szCs w:val="20"/>
              </w:rPr>
              <w:t xml:space="preserve">Proyecto APT</w:t>
            </w:r>
          </w:p>
        </w:tc>
        <w:tc>
          <w:tcPr>
            <w:tcW w:w="6400" w:type="dxa"/>
          </w:tcPr>
          <w:p>
            <w:pPr>
              <w:spacing w:after="40" w:before="0" w:line="240" w:lineRule="auto"/>
              <w:jc w:val="left"/>
            </w:pPr>
            <w:r>
              <w:rPr>
                <w:rFonts w:ascii="Calibri" w:hAnsi="Calibri" w:cs="Arial"/>
                <w:color w:val="262626"/>
                <w:sz w:val="20"/>
                <w:szCs w:val="20"/>
              </w:rPr>
              <w:t xml:space="preserve">DomoVida: Plataforma IoT de Monitoreo y Asistencia para el Adulto Mayor en el Hogar</w:t>
            </w:r>
          </w:p>
        </w:tc>
      </w:tr>
      <w:tr>
        <w:tc>
          <w:tcPr>
            <w:tcW w:w="2600" w:type="dxa"/>
          </w:tcPr>
          <w:p>
            <w:pPr>
              <w:spacing w:after="40" w:before="0" w:line="240" w:lineRule="auto"/>
              <w:jc w:val="left"/>
            </w:pPr>
            <w:r>
              <w:rPr>
                <w:rFonts w:ascii="Calibri" w:hAnsi="Calibri" w:cs="Arial"/>
                <w:color w:val="262626"/>
                <w:sz w:val="20"/>
                <w:szCs w:val="20"/>
              </w:rPr>
              <w:t xml:space="preserve">Etapa del informe</w:t>
            </w:r>
          </w:p>
        </w:tc>
        <w:tc>
          <w:tcPr>
            <w:tcW w:w="6400" w:type="dxa"/>
          </w:tcPr>
          <w:p>
            <w:pPr>
              <w:spacing w:after="40" w:before="0" w:line="240" w:lineRule="auto"/>
              <w:jc w:val="left"/>
            </w:pPr>
            <w:r>
              <w:rPr>
                <w:rFonts w:ascii="Calibri" w:hAnsi="Calibri" w:cs="Arial"/>
                <w:color w:val="262626"/>
                <w:sz w:val="20"/>
                <w:szCs w:val="20"/>
              </w:rPr>
              <w:t xml:space="preserve">Fase 2 · Sprint 3 (21 de septiembre al 11 de octubre de 2026) · semana 9 de 18</w:t>
            </w:r>
          </w:p>
        </w:tc>
      </w:tr>
      <w:tr>
        <w:tc>
          <w:tcPr>
            <w:tcW w:w="2600" w:type="dxa"/>
          </w:tcPr>
          <w:p>
            <w:pPr>
              <w:spacing w:after="40" w:before="0" w:line="240" w:lineRule="auto"/>
              <w:jc w:val="left"/>
            </w:pPr>
            <w:r>
              <w:rPr>
                <w:rFonts w:ascii="Calibri" w:hAnsi="Calibri" w:cs="Arial"/>
                <w:color w:val="262626"/>
                <w:sz w:val="20"/>
                <w:szCs w:val="20"/>
              </w:rPr>
              <w:t xml:space="preserve">Fecha de entrega</w:t>
            </w:r>
          </w:p>
        </w:tc>
        <w:tc>
          <w:tcPr>
            <w:tcW w:w="6400" w:type="dxa"/>
          </w:tcPr>
          <w:p>
            <w:pPr>
              <w:spacing w:after="40" w:before="0" w:line="240" w:lineRule="auto"/>
              <w:jc w:val="left"/>
            </w:pPr>
            <w:r>
              <w:rPr>
                <w:rFonts w:ascii="Calibri" w:hAnsi="Calibri" w:cs="Arial"/>
                <w:color w:val="262626"/>
                <w:sz w:val="20"/>
                <w:szCs w:val="20"/>
              </w:rPr>
              <w:t xml:space="preserve">7 de octubre de 2026</w:t>
            </w:r>
          </w:p>
        </w:tc>
      </w:tr>
      <w:tr>
        <w:tc>
          <w:tcPr>
            <w:tcW w:w="2600" w:type="dxa"/>
          </w:tcPr>
          <w:p>
            <w:pPr>
              <w:spacing w:after="40" w:before="0" w:line="240" w:lineRule="auto"/>
              <w:jc w:val="left"/>
            </w:pPr>
            <w:r>
              <w:rPr>
                <w:rFonts w:ascii="Calibri" w:hAnsi="Calibri" w:cs="Arial"/>
                <w:color w:val="262626"/>
                <w:sz w:val="20"/>
                <w:szCs w:val="20"/>
              </w:rPr>
              <w:t xml:space="preserve">Repositorio</w:t>
            </w:r>
          </w:p>
        </w:tc>
        <w:tc>
          <w:tcPr>
            <w:tcW w:w="6400" w:type="dxa"/>
          </w:tcPr>
          <w:p>
            <w:pPr>
              <w:spacing w:after="40" w:before="0" w:line="240" w:lineRule="auto"/>
              <w:jc w:val="left"/>
            </w:pPr>
            <w:r>
              <w:rPr>
                <w:rFonts w:ascii="Calibri" w:hAnsi="Calibri" w:cs="Arial"/>
                <w:color w:val="262626"/>
                <w:sz w:val="20"/>
                <w:szCs w:val="20"/>
              </w:rPr>
              <w:t xml:space="preserve">https://github.com/AndresVergara74/domovida-backend</w:t>
            </w:r>
          </w:p>
        </w:tc>
      </w:tr>
      <w:tr>
        <w:tc>
          <w:tcPr>
            <w:tcW w:w="2600" w:type="dxa"/>
          </w:tcPr>
          <w:p>
            <w:pPr>
              <w:spacing w:after="40" w:before="0" w:line="240" w:lineRule="auto"/>
              <w:jc w:val="left"/>
            </w:pPr>
            <w:r>
              <w:rPr>
                <w:rFonts w:ascii="Calibri" w:hAnsi="Calibri" w:cs="Arial"/>
                <w:color w:val="262626"/>
                <w:sz w:val="20"/>
                <w:szCs w:val="20"/>
              </w:rPr>
              <w:t xml:space="preserve">Sistema publicado</w:t>
            </w:r>
          </w:p>
        </w:tc>
        <w:tc>
          <w:tcPr>
            <w:tcW w:w="6400" w:type="dxa"/>
          </w:tcPr>
          <w:p>
            <w:pPr>
              <w:spacing w:after="40" w:before="0" w:line="240" w:lineRule="auto"/>
              <w:jc w:val="left"/>
            </w:pPr>
            <w:r>
              <w:rPr>
                <w:rFonts w:ascii="Calibri" w:hAnsi="Calibri" w:cs="Arial"/>
                <w:color w:val="262626"/>
                <w:sz w:val="20"/>
                <w:szCs w:val="20"/>
              </w:rPr>
              <w:t xml:space="preserve">Panel: https://domovida-backend.vercel.app · API: https://domovida-backend.onrender.com/docs</w:t>
            </w:r>
          </w:p>
        </w:tc>
      </w:tr>
      <w:tr>
        <w:tc>
          <w:tcPr>
            <w:tcW w:w="2600" w:type="dxa"/>
          </w:tcPr>
          <w:p>
            <w:pPr>
              <w:spacing w:after="40" w:before="0" w:line="240" w:lineRule="auto"/>
              <w:jc w:val="left"/>
            </w:pPr>
            <w:r>
              <w:rPr>
                <w:rFonts w:ascii="Calibri" w:hAnsi="Calibri" w:cs="Arial"/>
                <w:color w:val="262626"/>
                <w:sz w:val="20"/>
                <w:szCs w:val="20"/>
              </w:rPr>
              <w:t xml:space="preserve">Tablero Kanban</w:t>
            </w:r>
          </w:p>
        </w:tc>
        <w:tc>
          <w:tcPr>
            <w:tcW w:w="6400" w:type="dxa"/>
          </w:tcPr>
          <w:p>
            <w:pPr>
              <w:spacing w:after="40" w:before="0" w:line="240" w:lineRule="auto"/>
              <w:jc w:val="left"/>
            </w:pPr>
            <w:r>
              <w:rPr>
                <w:rFonts w:ascii="Calibri" w:hAnsi="Calibri" w:cs="Arial"/>
                <w:color w:val="262626"/>
                <w:sz w:val="20"/>
                <w:szCs w:val="20"/>
              </w:rPr>
              <w:t xml:space="preserve">https://github.com/users/AndresVergara74/projects/1</w:t>
            </w:r>
          </w:p>
        </w:tc>
      </w:tr>
    </w:tbl>
    <w:p>
      <w:pPr>
        <w:spacing w:after="100" w:before="0" w:line="240" w:lineRule="auto"/>
        <w:jc w:val="both"/>
      </w:pPr>
    </w:p>
    <w:p>
      <w:pPr>
        <w:spacing w:before="0" w:after="0" w:line="20" w:lineRule="exact"/>
      </w:pPr>
      <w:r>
        <w:rPr>
          <w:rFonts w:ascii="Calibri" w:hAnsi="Calibri" w:cs="Calibri"/>
          <w:color w:val="262626"/>
          <w:sz w:val="2"/>
          <w:szCs w:val="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40" w:lineRule="auto"/>
              <w:jc w:val="left"/>
            </w:pPr>
            <w:r>
              <w:rPr>
                <w:rFonts w:ascii="Calibri" w:hAnsi="Calibri" w:cs="Arial"/>
                <w:b/>
                <w:color w:val="1F3864"/>
                <w:sz w:val="28"/>
                <w:szCs w:val="28"/>
              </w:rPr>
              <w:t xml:space="preserve">Índice</w:t>
            </w:r>
          </w:p>
        </w:tc>
      </w:tr>
    </w:tbl>
    <w:p>
      <w:pPr>
        <w:spacing w:before="0" w:after="120"/>
      </w:pPr>
    </w:p>
    <w:p>
      <w:pPr>
        <w:tabs>
          <w:tab w:val="right" w:leader="dot" w:pos="8500"/>
        </w:tabs>
        <w:spacing w:before="0" w:after="100"/>
      </w:pPr>
      <w:r>
        <w:rPr>
          <w:rFonts w:ascii="Calibri" w:hAnsi="Calibri" w:cs="Calibri"/>
          <w:b/>
          <w:color w:val="262626"/>
          <w:sz w:val="22"/>
          <w:szCs w:val="22"/>
        </w:rPr>
        <w:t xml:space="preserve">Resumen / Abstract</w:t>
        <w:tab/>
      </w:r>
      <w:r>
        <w:rPr>
          <w:rFonts w:ascii="Calibri" w:hAnsi="Calibri" w:cs="Calibri"/>
          <w:b/>
          <w:color w:val="262626"/>
          <w:sz w:val="22"/>
          <w:szCs w:val="22"/>
        </w:rPr>
        <w:t xml:space="preserve">3</w:t>
      </w:r>
    </w:p>
    <w:p>
      <w:pPr>
        <w:tabs>
          <w:tab w:val="right" w:leader="dot" w:pos="8500"/>
        </w:tabs>
        <w:spacing w:before="0" w:after="100"/>
      </w:pPr>
      <w:r>
        <w:rPr>
          <w:rFonts w:ascii="Calibri" w:hAnsi="Calibri" w:cs="Calibri"/>
          <w:b/>
          <w:color w:val="262626"/>
          <w:sz w:val="22"/>
          <w:szCs w:val="22"/>
        </w:rPr>
        <w:t xml:space="preserve">1. Resumen avance Proyecto APT</w:t>
        <w:tab/>
      </w:r>
      <w:r>
        <w:rPr>
          <w:rFonts w:ascii="Calibri" w:hAnsi="Calibri" w:cs="Calibri"/>
          <w:b/>
          <w:color w:val="262626"/>
          <w:sz w:val="22"/>
          <w:szCs w:val="22"/>
        </w:rPr>
        <w:t xml:space="preserve">4</w:t>
      </w:r>
    </w:p>
    <w:p>
      <w:pPr>
        <w:tabs>
          <w:tab w:val="right" w:leader="dot" w:pos="8500"/>
        </w:tabs>
        <w:spacing w:before="0" w:after="100"/>
      </w:pPr>
      <w:r>
        <w:rPr>
          <w:rFonts w:ascii="Calibri" w:hAnsi="Calibri" w:cs="Calibri"/>
          <w:color w:val="262626"/>
          <w:sz w:val="22"/>
          <w:szCs w:val="22"/>
        </w:rPr>
        <w:t xml:space="preserve">    Tabla 1. Evidencias de avance del proyecto DomoVida</w:t>
        <w:tab/>
      </w:r>
      <w:r>
        <w:rPr>
          <w:rFonts w:ascii="Calibri" w:hAnsi="Calibri" w:cs="Calibri"/>
          <w:color w:val="262626"/>
          <w:sz w:val="22"/>
          <w:szCs w:val="22"/>
        </w:rPr>
        <w:t xml:space="preserve">6</w:t>
      </w:r>
    </w:p>
    <w:p>
      <w:pPr>
        <w:tabs>
          <w:tab w:val="right" w:leader="dot" w:pos="8500"/>
        </w:tabs>
        <w:spacing w:before="0" w:after="100"/>
      </w:pPr>
      <w:r>
        <w:rPr>
          <w:rFonts w:ascii="Calibri" w:hAnsi="Calibri" w:cs="Calibri"/>
          <w:color w:val="262626"/>
          <w:sz w:val="22"/>
          <w:szCs w:val="22"/>
        </w:rPr>
        <w:t xml:space="preserve">    Figuras 1 a 17. Evidencias del avance</w:t>
        <w:tab/>
      </w:r>
      <w:r>
        <w:rPr>
          <w:rFonts w:ascii="Calibri" w:hAnsi="Calibri" w:cs="Calibri"/>
          <w:color w:val="262626"/>
          <w:sz w:val="22"/>
          <w:szCs w:val="22"/>
        </w:rPr>
        <w:t xml:space="preserve">7</w:t>
      </w:r>
    </w:p>
    <w:p>
      <w:pPr>
        <w:tabs>
          <w:tab w:val="right" w:leader="dot" w:pos="8500"/>
        </w:tabs>
        <w:spacing w:before="0" w:after="100"/>
      </w:pPr>
      <w:r>
        <w:rPr>
          <w:rFonts w:ascii="Calibri" w:hAnsi="Calibri" w:cs="Calibri"/>
          <w:b/>
          <w:color w:val="262626"/>
          <w:sz w:val="22"/>
          <w:szCs w:val="22"/>
        </w:rPr>
        <w:t xml:space="preserve">2. Monitoreo del Plan de Trabajo</w:t>
        <w:tab/>
      </w:r>
      <w:r>
        <w:rPr>
          <w:rFonts w:ascii="Calibri" w:hAnsi="Calibri" w:cs="Calibri"/>
          <w:b/>
          <w:color w:val="262626"/>
          <w:sz w:val="22"/>
          <w:szCs w:val="22"/>
        </w:rPr>
        <w:t xml:space="preserve">16</w:t>
      </w:r>
    </w:p>
    <w:p>
      <w:pPr>
        <w:tabs>
          <w:tab w:val="right" w:leader="dot" w:pos="8500"/>
        </w:tabs>
        <w:spacing w:before="0" w:after="100"/>
      </w:pPr>
      <w:r>
        <w:rPr>
          <w:rFonts w:ascii="Calibri" w:hAnsi="Calibri" w:cs="Calibri"/>
          <w:b/>
          <w:color w:val="262626"/>
          <w:sz w:val="22"/>
          <w:szCs w:val="22"/>
        </w:rPr>
        <w:t xml:space="preserve">3. Ajustes a partir del monitoreo</w:t>
        <w:tab/>
      </w:r>
      <w:r>
        <w:rPr>
          <w:rFonts w:ascii="Calibri" w:hAnsi="Calibri" w:cs="Calibri"/>
          <w:b/>
          <w:color w:val="262626"/>
          <w:sz w:val="22"/>
          <w:szCs w:val="22"/>
        </w:rPr>
        <w:t xml:space="preserve">19</w:t>
      </w:r>
    </w:p>
    <w:p>
      <w:pPr>
        <w:tabs>
          <w:tab w:val="right" w:leader="dot" w:pos="8500"/>
        </w:tabs>
        <w:spacing w:before="0" w:after="100"/>
      </w:pPr>
      <w:r>
        <w:rPr>
          <w:rFonts w:ascii="Calibri" w:hAnsi="Calibri" w:cs="Calibri"/>
          <w:b/>
          <w:color w:val="262626"/>
          <w:sz w:val="22"/>
          <w:szCs w:val="22"/>
        </w:rPr>
        <w:t xml:space="preserve">4. Conclusions</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5. Reflection</w:t>
        <w:tab/>
      </w:r>
      <w:r>
        <w:rPr>
          <w:rFonts w:ascii="Calibri" w:hAnsi="Calibri" w:cs="Calibri"/>
          <w:b/>
          <w:color w:val="262626"/>
          <w:sz w:val="22"/>
          <w:szCs w:val="22"/>
        </w:rPr>
        <w:t xml:space="preserve">22</w:t>
      </w:r>
    </w:p>
    <w:p>
      <w:pPr>
        <w:tabs>
          <w:tab w:val="right" w:leader="dot" w:pos="8500"/>
        </w:tabs>
        <w:spacing w:before="0" w:after="100"/>
      </w:pPr>
      <w:r>
        <w:rPr>
          <w:rFonts w:ascii="Calibri" w:hAnsi="Calibri" w:cs="Calibri"/>
          <w:b/>
          <w:color w:val="262626"/>
          <w:sz w:val="22"/>
          <w:szCs w:val="22"/>
        </w:rPr>
        <w:t xml:space="preserve">6. Declaración de uso de inteligencia artificial</w:t>
        <w:tab/>
      </w:r>
      <w:r>
        <w:rPr>
          <w:rFonts w:ascii="Calibri" w:hAnsi="Calibri" w:cs="Calibri"/>
          <w:b/>
          <w:color w:val="262626"/>
          <w:sz w:val="22"/>
          <w:szCs w:val="22"/>
        </w:rPr>
        <w:t xml:space="preserve">22</w:t>
      </w:r>
    </w:p>
    <w:p>
      <w:pPr>
        <w:tabs>
          <w:tab w:val="right" w:leader="dot" w:pos="8500"/>
        </w:tabs>
        <w:spacing w:before="0" w:after="100"/>
      </w:pPr>
      <w:r>
        <w:rPr>
          <w:rFonts w:ascii="Calibri" w:hAnsi="Calibri" w:cs="Calibri"/>
          <w:b/>
          <w:color w:val="262626"/>
          <w:sz w:val="22"/>
          <w:szCs w:val="22"/>
        </w:rPr>
        <w:t xml:space="preserve">7. Referencias</w:t>
        <w:tab/>
      </w:r>
      <w:r>
        <w:rPr>
          <w:rFonts w:ascii="Calibri" w:hAnsi="Calibri" w:cs="Calibri"/>
          <w:b/>
          <w:color w:val="262626"/>
          <w:sz w:val="22"/>
          <w:szCs w:val="22"/>
        </w:rPr>
        <w:t xml:space="preserve">22</w:t>
      </w:r>
    </w:p>
    <w:p>
      <w:pPr>
        <w:spacing w:before="0" w:after="0" w:line="20" w:lineRule="exact"/>
      </w:pPr>
      <w:r>
        <w:rPr>
          <w:rFonts w:ascii="Calibri" w:hAnsi="Calibri" w:cs="Calibri"/>
          <w:color w:val="262626"/>
          <w:sz w:val="2"/>
          <w:szCs w:val="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40" w:lineRule="auto"/>
              <w:jc w:val="left"/>
            </w:pPr>
            <w:r>
              <w:rPr>
                <w:rFonts w:ascii="Calibri" w:hAnsi="Calibri" w:cs="Arial"/>
                <w:b/>
                <w:color w:val="1F3864"/>
                <w:sz w:val="28"/>
                <w:szCs w:val="28"/>
              </w:rPr>
              <w:t xml:space="preserve">Resumen / Abstract</w:t>
            </w:r>
          </w:p>
        </w:tc>
      </w:tr>
    </w:tbl>
    <w:p>
      <w:pPr>
        <w:keepNext/>
        <w:spacing w:after="80" w:before="120" w:line="240" w:lineRule="auto"/>
        <w:jc w:val="left"/>
      </w:pPr>
      <w:r>
        <w:rPr>
          <w:rFonts w:ascii="Calibri" w:hAnsi="Calibri" w:cs="Arial"/>
          <w:b/>
          <w:color w:val="1F3864"/>
          <w:sz w:val="22"/>
          <w:szCs w:val="22"/>
        </w:rPr>
        <w:t xml:space="preserve">Resumen</w:t>
      </w:r>
    </w:p>
    <w:p>
      <w:pPr>
        <w:spacing w:after="100" w:before="0" w:line="240" w:lineRule="auto"/>
        <w:jc w:val="both"/>
      </w:pPr>
      <w:r>
        <w:rPr>
          <w:rFonts w:ascii="Calibri" w:hAnsi="Calibri" w:cs="Arial"/>
          <w:color w:val="262626"/>
          <w:sz w:val="22"/>
          <w:szCs w:val="22"/>
        </w:rPr>
        <w:t xml:space="preserve">DomoVida es una plataforma IoT de monitoreo para adultos mayores que viven solos, que detecta caídas y emergencias y alerta al cuidador en tiempo real. Este informe presenta el avance a la semana 9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(recursos Observation, Patient seudonimizado y Bundle, validados con la librería fhir.resources), además de una clave de API para los sensores y el inicio de sesión del cuidador, incorporando medidas técnicas del prototipo alineadas con principios de protección de datos contemplados en la Ley N° 21.719. En 30 caídas simuladas, el 100 % de las alertas llegó al panel por WebSocket, con una latencia promedio de 1.577 ms en Render y de 216 ms en AWS EC2 (entorno experimental de comparación); esta comparación sugiere que la distancia entre servicios es un factor relevante de la latencia observada. El 100 % de las notificaciones llegó al celular del cuidador (30/30) y, sin internet, el modo borde guardó y mostró 10 de 10 caídas. El desarrollo avanzó más rápido que lo planificado, mientras que la documentación ágil se reconstruyó a partir del historial de commits.</w:t>
      </w:r>
    </w:p>
    <w:p>
      <w:pPr>
        <w:keepNext/>
        <w:spacing w:after="80" w:before="120" w:line="240" w:lineRule="auto"/>
        <w:jc w:val="left"/>
      </w:pPr>
      <w:r>
        <w:rPr>
          <w:rFonts w:ascii="Calibri" w:hAnsi="Calibri" w:cs="Arial"/>
          <w:b/>
          <w:color w:val="1F3864"/>
          <w:sz w:val="22"/>
          <w:szCs w:val="22"/>
        </w:rPr>
        <w:t xml:space="preserve">Abstract</w:t>
      </w:r>
    </w:p>
    <w:p>
      <w:pPr>
        <w:spacing w:after="100" w:before="0" w:line="240" w:lineRule="auto"/>
        <w:jc w:val="both"/>
      </w:pPr>
      <w:r>
        <w:rPr>
          <w:rFonts w:ascii="Calibri" w:hAnsi="Calibri" w:cs="Arial"/>
          <w:color w:val="262626"/>
          <w:sz w:val="22"/>
          <w:szCs w:val="22"/>
        </w:rPr>
        <w:t xml:space="preserve">DomoVida is an IoT monitoring platform for older adults who live alone. It detects falls and emergencies and alerts the caregiver in real time. This report presents the progress at week 9 of 18. The prototype integrates an 8-sensor simulator, a FastAPI backend with Supabase/PostgreSQL persistence, a React dashboard, and alerts via WebSocket and push notifications (ntfy). SHA-256 pseudonymization, Row Level Security (RLS), an initial HL7 FHIR R4 interoperability layer (Observation, pseudonymized Patient and Bundle resources, validated with the fhir.resources library), an API key for the sensors and caregiver login were implemented, incorporating technical measures in the prototype aligned with data protection principles contemplated by Chilean Law No. 21,719. Across 30 simulated falls, 100% of the alerts reached the dashboard via WebSocket, with an average latency of 1,577 ms on Render and 216 ms on AWS EC2 (an experimental comparison environment); this comparison suggests that the distance between services is a relevant factor in the observed latency. 100% of the notifications reached the caregiver's phone (30/30) and, without internet, the edge mode stored and displayed 10 out of 10 falls. Development progressed faster than planned, while the agile documentation was rebuilt from the commit history.</w:t>
      </w:r>
    </w:p>
    <w:p>
      <w:pPr>
        <w:spacing w:after="40" w:before="0" w:line="240" w:lineRule="auto"/>
        <w:jc w:val="both"/>
      </w:pPr>
      <w:r>
        <w:rPr>
          <w:rFonts w:ascii="Calibri" w:hAnsi="Calibri" w:cs="Arial"/>
          <w:b/>
          <w:color w:val="1F3864"/>
          <w:sz w:val="22"/>
          <w:szCs w:val="22"/>
        </w:rPr>
        <w:t xml:space="preserve">Palabras clave: </w:t>
      </w:r>
      <w:r>
        <w:rPr>
          <w:rFonts w:ascii="Calibri" w:hAnsi="Calibri" w:cs="Arial"/>
          <w:color w:val="262626"/>
          <w:sz w:val="22"/>
          <w:szCs w:val="22"/>
        </w:rPr>
        <w:t xml:space="preserve">IoT, adulto mayor, detección de caídas, FastAPI, HL7 FHIR, Ley 21.719, Scrum.</w:t>
      </w:r>
    </w:p>
    <w:p>
      <w:pPr>
        <w:spacing w:after="200" w:before="0" w:line="240" w:lineRule="auto"/>
        <w:jc w:val="both"/>
      </w:pPr>
      <w:r>
        <w:rPr>
          <w:rFonts w:ascii="Calibri" w:hAnsi="Calibri" w:cs="Arial"/>
          <w:b/>
          <w:color w:val="1F3864"/>
          <w:sz w:val="22"/>
          <w:szCs w:val="22"/>
        </w:rPr>
        <w:t xml:space="preserve">Keywords: </w:t>
      </w:r>
      <w:r>
        <w:rPr>
          <w:rFonts w:ascii="Calibri" w:hAnsi="Calibri" w:cs="Arial"/>
          <w:color w:val="262626"/>
          <w:sz w:val="22"/>
          <w:szCs w:val="22"/>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40" w:lineRule="auto"/>
              <w:jc w:val="both"/>
            </w:pPr>
            <w:r>
              <w:rPr>
                <w:rFonts w:ascii="Calibri" w:hAnsi="Calibri" w:cs="Arial"/>
                <w:color w:val="262626"/>
                <w:sz w:val="20"/>
                <w:szCs w:val="20"/>
              </w:rPr>
              <w:t xml:space="preserve">A la semana 9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40" w:lineRule="auto"/>
              <w:jc w:val="both"/>
            </w:pPr>
            <w:r>
              <w:rPr>
                <w:rFonts w:ascii="Calibri" w:hAnsi="Calibri" w:cs="Arial"/>
                <w:b/>
                <w:color w:val="262626"/>
                <w:sz w:val="20"/>
                <w:szCs w:val="20"/>
              </w:rPr>
              <w:t xml:space="preserve">OE1 (captura y detección en el borde): alto grado de implementación y validación dentro del alcance actual del prototipo.</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En la prueba de continuidad sin conexión (PR-03, 03/10), con internet cortado, el modo borde guardó en SQLite y mostró en el panel local 10 de 10 caídas. La regla de la puerta principal se trasladó al backend: alerta solo si se abre de noche o si queda abierta 10 minutos o más (PU-04, 10/10). Queda como mejora la sincronización automática con la nube al volver la conexión.</w:t>
            </w:r>
          </w:p>
          <w:p>
            <w:pPr>
              <w:spacing w:after="100" w:before="0" w:line="240" w:lineRule="auto"/>
              <w:jc w:val="both"/>
            </w:pPr>
            <w:r>
              <w:rPr>
                <w:rFonts w:ascii="Calibri" w:hAnsi="Calibri" w:cs="Arial"/>
                <w:b/>
                <w:color w:val="262626"/>
                <w:sz w:val="20"/>
                <w:szCs w:val="20"/>
              </w:rPr>
              <w:t xml:space="preserve">OE2 (backend, datos y protección de datos): alto grado de implementación y validación dentro del alcance actual del prototipo.</w:t>
            </w:r>
            <w:r>
              <w:rPr>
                <w:rFonts w:ascii="Calibri" w:hAnsi="Calibri" w:cs="Arial"/>
                <w:color w:val="262626"/>
                <w:sz w:val="20"/>
                <w:szCs w:val="20"/>
              </w:rPr>
              <w:t xml:space="preserve"> La API FastAPI (Ramírez, 2023) está desplegada en Render y sincroniza los eventos con Supabase/PostgreSQL (Supabase Inc., 2024). Cada evento crítico genera su alerta con la severidad correcta (prueba PI-02) y las políticas RLS impiden el acceso anónimo (PI-03). El RUT se seudonimiza con SHA-256 (NIST, 2015) con sal (PU-03) y se realizó una implementación inicial de HL7 FHIR R4 que representa los eventos como recursos Observation agrupados en Bundle, validados con la librería fhir.resources (PI-04). Además, el sistema se empaquetó en Docker (Docker Inc., 2024) y se desplegó una réplica en AWS EC2, utilizada exclusivamente como entorno experimental de comparación; la arquitectura de producción del prototipo es Vercel + Render + Supabase + ntfy. Entre el 03 y el 05/10 se completaron los pendientes: el recurso FHIR Patient seudonimizado, correctamente estructurado y validado mediante la librería fhir.resources, sin nombre, RUT ni dirección (PI-05, 8/8); una clave de API que exigen los sensores (PS-01, 3/3 en producción); el inicio de sesión del cuidador con Supabase Auth para atender alertas, que registra quién atendió cada una (PS-01b, 3/3 en producción), y RLS en la tabla de sensores (PI-03b). El 06/10 se reforzó la calidad de los datos: los cambios de la base pasaron a migraciones versionadas en el repositorio, todas las fechas se guardan en UTC con zona horaria y la tabla alertas quedó como fuente única de la atención, lo que corrigió 1.463 registros inconsistentes (PU-05, PU-06, PI-06 y PI-07).</w:t>
            </w:r>
          </w:p>
          <w:p>
            <w:pPr>
              <w:spacing w:after="100" w:before="0" w:line="240"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(Meta Platforms, 2024) en Vercel muestra 4 pestañas, el mapa Leaflet y el registro de atención de cada alerta. En 30 caídas simuladas, el 100 % de las alertas llegó al panel por WebSocket (Fette y Melnikov, 2011; PR-01); en la prueba PR-02, los 30 avisos ntfy (Heckel, 2024) llegaron al celular del cuidador (100 %, meta &gt; 95 %). El panel ahora distingue los componentes simulados, muestra la base de datos en uso y la hora de atención de cada alerta. Falta la evaluación de usabilidad con la Escala SUS, planificada para las semanas 16 a 18.</w:t>
            </w:r>
          </w:p>
          <w:p>
            <w:pPr>
              <w:spacing w:after="100" w:before="0" w:line="240"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40"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con la librería fhir.resources en la prueba PI-04, y el 05/10 se agregó el recurso Patient seudonimizado (PI-05).</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de la prueba realizada (30/30). La meta se evaluará en una infraestructura con backend y base de datos en la misma región.</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40" w:lineRule="auto"/>
              <w:jc w:val="both"/>
            </w:pPr>
            <w:r>
              <w:rPr>
                <w:rFonts w:ascii="Calibri" w:hAnsi="Calibri" w:cs="Arial"/>
                <w:color w:val="262626"/>
                <w:sz w:val="20"/>
                <w:szCs w:val="20"/>
              </w:rPr>
              <w:t xml:space="preserve">Se mantiene Scrum (Schwaber y Sutherland, 2020) adaptado a un desarrollador, con seis sprints de tres semanas. Los ajustes son:</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intentó un tercer entorno en Oracle Cloud (región Santiago), pero la región no tenía capacidad para las máquinas gratuitas en dos intentos (03 y 05/10), por lo que se posterga. AWS EC2 se utilizó exclusivamente como entorno experimental de comparación y no corresponde a la arquitectura de producción del prototipo (Vercel + Render + Supabase + ntfy); Oracle Cloud Santiago queda como alternativa futura.</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de seguridad en producción:</w:t>
            </w:r>
            <w:r>
              <w:rPr>
                <w:rFonts w:ascii="Calibri" w:hAnsi="Calibri" w:cs="Arial"/>
                <w:color w:val="262626"/>
                <w:sz w:val="20"/>
                <w:szCs w:val="20"/>
              </w:rPr>
              <w:t xml:space="preserve"> las pruebas PS-01 y PS-01b se ejecutan contra el sistema publicado, y la clave se verifica comparando una huella SHA-256 parcial, sin exponerla.</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40" w:lineRule="auto"/>
              <w:jc w:val="both"/>
            </w:pPr>
            <w:r>
              <w:rPr>
                <w:rFonts w:ascii="Calibri" w:hAnsi="Calibri" w:cs="Arial"/>
                <w:color w:val="262626"/>
                <w:sz w:val="20"/>
                <w:szCs w:val="20"/>
              </w:rPr>
              <w:t xml:space="preserve">Se presentan dieciséis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17.</w:t>
            </w:r>
          </w:p>
          <w:p>
            <w:pPr>
              <w:spacing w:after="100" w:before="0" w:line="240"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(HL7 International, 2019), SNOMED CT (SNOMED International, 2024) y LOINC (Regenstrief Institute, 2024).</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ya corregida; tabla sin RLS, ya corregida; falta de https en AWS), cada una con su plan de acción.</w:t>
            </w:r>
          </w:p>
        </w:tc>
      </w:tr>
    </w:tbl>
    <w:p>
      <w:pPr>
        <w:spacing w:after="100" w:before="0" w:line="240" w:lineRule="auto"/>
        <w:jc w:val="both"/>
      </w:pPr>
    </w:p>
    <w:p>
      <w:pPr>
        <w:keepNext/>
        <w:spacing w:after="80" w:before="120" w:line="240" w:lineRule="auto"/>
        <w:jc w:val="left"/>
      </w:pPr>
      <w:r>
        <w:rPr>
          <w:rFonts w:ascii="Calibri" w:hAnsi="Calibri" w:cs="Arial"/>
          <w:b/>
          <w:color w:val="1F3864"/>
          <w:sz w:val="22"/>
          <w:szCs w:val="22"/>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40" w:lineRule="auto"/>
              <w:jc w:val="center"/>
            </w:pPr>
            <w:r>
              <w:rPr>
                <w:rFonts w:ascii="Calibri" w:hAnsi="Calibri" w:cs="Arial"/>
                <w:b/>
                <w:color w:val="1F3864"/>
                <w:sz w:val="20"/>
                <w:szCs w:val="20"/>
              </w:rPr>
              <w:t xml:space="preserve">N°</w:t>
            </w:r>
          </w:p>
        </w:tc>
        <w:tc>
          <w:tcPr>
            <w:tcW w:w="3200" w:type="dxa"/>
            <w:shd w:val="clear" w:color="auto" w:fill="D9E2F3"/>
          </w:tcPr>
          <w:p>
            <w:pPr>
              <w:spacing w:after="40" w:before="0" w:line="240" w:lineRule="auto"/>
              <w:jc w:val="center"/>
            </w:pPr>
            <w:r>
              <w:rPr>
                <w:rFonts w:ascii="Calibri" w:hAnsi="Calibri" w:cs="Arial"/>
                <w:b/>
                <w:color w:val="1F3864"/>
                <w:sz w:val="20"/>
                <w:szCs w:val="20"/>
              </w:rPr>
              <w:t xml:space="preserve">Evidencia</w:t>
            </w:r>
          </w:p>
        </w:tc>
        <w:tc>
          <w:tcPr>
            <w:tcW w:w="4100" w:type="dxa"/>
            <w:shd w:val="clear" w:color="auto" w:fill="D9E2F3"/>
          </w:tcPr>
          <w:p>
            <w:pPr>
              <w:spacing w:after="40" w:before="0" w:line="240" w:lineRule="auto"/>
              <w:jc w:val="center"/>
            </w:pPr>
            <w:r>
              <w:rPr>
                <w:rFonts w:ascii="Calibri" w:hAnsi="Calibri" w:cs="Arial"/>
                <w:b/>
                <w:color w:val="1F3864"/>
                <w:sz w:val="20"/>
                <w:szCs w:val="20"/>
              </w:rPr>
              <w:t xml:space="preserve">Qué demuestra</w:t>
            </w:r>
          </w:p>
        </w:tc>
        <w:tc>
          <w:tcPr>
            <w:tcW w:w="1000" w:type="dxa"/>
            <w:shd w:val="clear" w:color="auto" w:fill="D9E2F3"/>
          </w:tcPr>
          <w:p>
            <w:pPr>
              <w:spacing w:after="40" w:before="0" w:line="240" w:lineRule="auto"/>
              <w:jc w:val="center"/>
            </w:pPr>
            <w:r>
              <w:rPr>
                <w:rFonts w:ascii="Calibri" w:hAnsi="Calibri" w:cs="Arial"/>
                <w:b/>
                <w:color w:val="1F3864"/>
                <w:sz w:val="20"/>
                <w:szCs w:val="20"/>
              </w:rPr>
              <w:t xml:space="preserve">OE</w:t>
            </w:r>
          </w:p>
        </w:tc>
      </w:tr>
      <w:tr>
        <w:tc>
          <w:tcPr>
            <w:tcW w:w="700" w:type="dxa"/>
          </w:tcPr>
          <w:p>
            <w:pPr>
              <w:spacing w:after="40" w:before="0" w:line="240" w:lineRule="auto"/>
              <w:jc w:val="left"/>
            </w:pPr>
            <w:r>
              <w:rPr>
                <w:rFonts w:ascii="Calibri" w:hAnsi="Calibri" w:cs="Arial"/>
                <w:color w:val="262626"/>
                <w:sz w:val="20"/>
                <w:szCs w:val="20"/>
              </w:rPr>
              <w:t xml:space="preserve">E1</w:t>
            </w:r>
          </w:p>
        </w:tc>
        <w:tc>
          <w:tcPr>
            <w:tcW w:w="3200" w:type="dxa"/>
          </w:tcPr>
          <w:p>
            <w:pPr>
              <w:spacing w:after="40" w:before="0" w:line="240" w:lineRule="auto"/>
              <w:jc w:val="left"/>
            </w:pPr>
            <w:r>
              <w:rPr>
                <w:rFonts w:ascii="Calibri" w:hAnsi="Calibri" w:cs="Arial"/>
                <w:color w:val="262626"/>
                <w:sz w:val="20"/>
                <w:szCs w:val="20"/>
              </w:rPr>
              <w:t xml:space="preserve">Panel en Vercel con datos del simulador (Figura 1)</w:t>
            </w:r>
          </w:p>
        </w:tc>
        <w:tc>
          <w:tcPr>
            <w:tcW w:w="4100" w:type="dxa"/>
          </w:tcPr>
          <w:p>
            <w:pPr>
              <w:spacing w:after="40" w:before="0" w:line="240" w:lineRule="auto"/>
              <w:jc w:val="left"/>
            </w:pPr>
            <w:r>
              <w:rPr>
                <w:rFonts w:ascii="Calibri" w:hAnsi="Calibri" w:cs="Arial"/>
                <w:color w:val="262626"/>
                <w:sz w:val="20"/>
                <w:szCs w:val="20"/>
              </w:rPr>
              <w:t xml:space="preserve">8/8 sensores enviando datos en tiempo real a la nube</w:t>
            </w:r>
          </w:p>
        </w:tc>
        <w:tc>
          <w:tcPr>
            <w:tcW w:w="1000" w:type="dxa"/>
          </w:tcPr>
          <w:p>
            <w:pPr>
              <w:spacing w:after="40" w:before="0" w:line="240" w:lineRule="auto"/>
              <w:jc w:val="left"/>
            </w:pPr>
            <w:r>
              <w:rPr>
                <w:rFonts w:ascii="Calibri" w:hAnsi="Calibri" w:cs="Arial"/>
                <w:color w:val="262626"/>
                <w:sz w:val="20"/>
                <w:szCs w:val="20"/>
              </w:rPr>
              <w:t xml:space="preserve">OE1</w:t>
            </w:r>
          </w:p>
        </w:tc>
      </w:tr>
      <w:tr>
        <w:tc>
          <w:tcPr>
            <w:tcW w:w="700" w:type="dxa"/>
          </w:tcPr>
          <w:p>
            <w:pPr>
              <w:spacing w:after="40" w:before="0" w:line="240" w:lineRule="auto"/>
              <w:jc w:val="left"/>
            </w:pPr>
            <w:r>
              <w:rPr>
                <w:rFonts w:ascii="Calibri" w:hAnsi="Calibri" w:cs="Arial"/>
                <w:color w:val="262626"/>
                <w:sz w:val="20"/>
                <w:szCs w:val="20"/>
              </w:rPr>
              <w:t xml:space="preserve">E2</w:t>
            </w:r>
          </w:p>
        </w:tc>
        <w:tc>
          <w:tcPr>
            <w:tcW w:w="3200" w:type="dxa"/>
          </w:tcPr>
          <w:p>
            <w:pPr>
              <w:spacing w:after="40" w:before="0" w:line="240" w:lineRule="auto"/>
              <w:jc w:val="left"/>
            </w:pPr>
            <w:r>
              <w:rPr>
                <w:rFonts w:ascii="Calibri" w:hAnsi="Calibri" w:cs="Arial"/>
                <w:color w:val="262626"/>
                <w:sz w:val="20"/>
                <w:szCs w:val="20"/>
              </w:rPr>
              <w:t xml:space="preserve">Alerta en tiempo real y atención del cuidador (Figuras 2 y 3)</w:t>
            </w:r>
          </w:p>
        </w:tc>
        <w:tc>
          <w:tcPr>
            <w:tcW w:w="4100" w:type="dxa"/>
          </w:tcPr>
          <w:p>
            <w:pPr>
              <w:spacing w:after="40" w:before="0" w:line="240" w:lineRule="auto"/>
              <w:jc w:val="left"/>
            </w:pPr>
            <w:r>
              <w:rPr>
                <w:rFonts w:ascii="Calibri" w:hAnsi="Calibri" w:cs="Arial"/>
                <w:color w:val="262626"/>
                <w:sz w:val="20"/>
                <w:szCs w:val="20"/>
              </w:rPr>
              <w:t xml:space="preserve">Flujo crítico completo: caída → alerta → atención registrada</w:t>
            </w:r>
          </w:p>
        </w:tc>
        <w:tc>
          <w:tcPr>
            <w:tcW w:w="1000" w:type="dxa"/>
          </w:tcPr>
          <w:p>
            <w:pPr>
              <w:spacing w:after="40" w:before="0" w:line="240" w:lineRule="auto"/>
              <w:jc w:val="left"/>
            </w:pPr>
            <w:r>
              <w:rPr>
                <w:rFonts w:ascii="Calibri" w:hAnsi="Calibri" w:cs="Arial"/>
                <w:color w:val="262626"/>
                <w:sz w:val="20"/>
                <w:szCs w:val="20"/>
              </w:rPr>
              <w:t xml:space="preserve">OE3</w:t>
            </w:r>
          </w:p>
        </w:tc>
      </w:tr>
      <w:tr>
        <w:tc>
          <w:tcPr>
            <w:tcW w:w="700" w:type="dxa"/>
          </w:tcPr>
          <w:p>
            <w:pPr>
              <w:spacing w:after="40" w:before="0" w:line="240" w:lineRule="auto"/>
              <w:jc w:val="left"/>
            </w:pPr>
            <w:r>
              <w:rPr>
                <w:rFonts w:ascii="Calibri" w:hAnsi="Calibri" w:cs="Arial"/>
                <w:color w:val="262626"/>
                <w:sz w:val="20"/>
                <w:szCs w:val="20"/>
              </w:rPr>
              <w:t xml:space="preserve">E3</w:t>
            </w:r>
          </w:p>
        </w:tc>
        <w:tc>
          <w:tcPr>
            <w:tcW w:w="3200" w:type="dxa"/>
          </w:tcPr>
          <w:p>
            <w:pPr>
              <w:spacing w:after="40" w:before="0" w:line="240" w:lineRule="auto"/>
              <w:jc w:val="left"/>
            </w:pPr>
            <w:r>
              <w:rPr>
                <w:rFonts w:ascii="Calibri" w:hAnsi="Calibri" w:cs="Arial"/>
                <w:color w:val="262626"/>
                <w:sz w:val="20"/>
                <w:szCs w:val="20"/>
              </w:rPr>
              <w:t xml:space="preserve">Notificaciones ntfy en el celular (Figura 4)</w:t>
            </w:r>
          </w:p>
        </w:tc>
        <w:tc>
          <w:tcPr>
            <w:tcW w:w="4100" w:type="dxa"/>
          </w:tcPr>
          <w:p>
            <w:pPr>
              <w:spacing w:after="40" w:before="0" w:line="240" w:lineRule="auto"/>
              <w:jc w:val="left"/>
            </w:pPr>
            <w:r>
              <w:rPr>
                <w:rFonts w:ascii="Calibri" w:hAnsi="Calibri" w:cs="Arial"/>
                <w:color w:val="262626"/>
                <w:sz w:val="20"/>
                <w:szCs w:val="20"/>
              </w:rPr>
              <w:t xml:space="preserve">El aviso llega al celular del cuidador con hora de Chile (recepción verificada visualmente)</w:t>
            </w:r>
          </w:p>
        </w:tc>
        <w:tc>
          <w:tcPr>
            <w:tcW w:w="1000" w:type="dxa"/>
          </w:tcPr>
          <w:p>
            <w:pPr>
              <w:spacing w:after="40" w:before="0" w:line="240" w:lineRule="auto"/>
              <w:jc w:val="left"/>
            </w:pPr>
            <w:r>
              <w:rPr>
                <w:rFonts w:ascii="Calibri" w:hAnsi="Calibri" w:cs="Arial"/>
                <w:color w:val="262626"/>
                <w:sz w:val="20"/>
                <w:szCs w:val="20"/>
              </w:rPr>
              <w:t xml:space="preserve">OE3</w:t>
            </w:r>
          </w:p>
        </w:tc>
      </w:tr>
      <w:tr>
        <w:tc>
          <w:tcPr>
            <w:tcW w:w="700" w:type="dxa"/>
          </w:tcPr>
          <w:p>
            <w:pPr>
              <w:spacing w:after="40" w:before="0" w:line="240" w:lineRule="auto"/>
              <w:jc w:val="left"/>
            </w:pPr>
            <w:r>
              <w:rPr>
                <w:rFonts w:ascii="Calibri" w:hAnsi="Calibri" w:cs="Arial"/>
                <w:color w:val="262626"/>
                <w:sz w:val="20"/>
                <w:szCs w:val="20"/>
              </w:rPr>
              <w:t xml:space="preserve">E4</w:t>
            </w:r>
          </w:p>
        </w:tc>
        <w:tc>
          <w:tcPr>
            <w:tcW w:w="3200" w:type="dxa"/>
          </w:tcPr>
          <w:p>
            <w:pPr>
              <w:spacing w:after="40" w:before="0" w:line="240" w:lineRule="auto"/>
              <w:jc w:val="left"/>
            </w:pPr>
            <w:r>
              <w:rPr>
                <w:rFonts w:ascii="Calibri" w:hAnsi="Calibri" w:cs="Arial"/>
                <w:color w:val="262626"/>
                <w:sz w:val="20"/>
                <w:szCs w:val="20"/>
              </w:rPr>
              <w:t xml:space="preserve">Prueba PR-01 en tres mediciones (Figuras 5, 6 y 7)</w:t>
            </w:r>
          </w:p>
        </w:tc>
        <w:tc>
          <w:tcPr>
            <w:tcW w:w="4100" w:type="dxa"/>
          </w:tcPr>
          <w:p>
            <w:pPr>
              <w:spacing w:after="40" w:before="0" w:line="240" w:lineRule="auto"/>
              <w:jc w:val="left"/>
            </w:pPr>
            <w:r>
              <w:rPr>
                <w:rFonts w:ascii="Calibri" w:hAnsi="Calibri" w:cs="Arial"/>
                <w:color w:val="262626"/>
                <w:sz w:val="20"/>
                <w:szCs w:val="20"/>
              </w:rPr>
              <w:t xml:space="preserve">30/30 alertas por WebSocket; latencia de 1.903 → 1.577 ms tras el ajuste y 216 ms en AWS EC2</w:t>
            </w:r>
          </w:p>
        </w:tc>
        <w:tc>
          <w:tcPr>
            <w:tcW w:w="1000" w:type="dxa"/>
          </w:tcPr>
          <w:p>
            <w:pPr>
              <w:spacing w:after="40" w:before="0" w:line="240" w:lineRule="auto"/>
              <w:jc w:val="left"/>
            </w:pPr>
            <w:r>
              <w:rPr>
                <w:rFonts w:ascii="Calibri" w:hAnsi="Calibri" w:cs="Arial"/>
                <w:color w:val="262626"/>
                <w:sz w:val="20"/>
                <w:szCs w:val="20"/>
              </w:rPr>
              <w:t xml:space="preserve">OE3</w:t>
            </w:r>
          </w:p>
        </w:tc>
      </w:tr>
      <w:tr>
        <w:tc>
          <w:tcPr>
            <w:tcW w:w="700" w:type="dxa"/>
          </w:tcPr>
          <w:p>
            <w:pPr>
              <w:spacing w:after="40" w:before="0" w:line="240" w:lineRule="auto"/>
              <w:jc w:val="left"/>
            </w:pPr>
            <w:r>
              <w:rPr>
                <w:rFonts w:ascii="Calibri" w:hAnsi="Calibri" w:cs="Arial"/>
                <w:color w:val="262626"/>
                <w:sz w:val="20"/>
                <w:szCs w:val="20"/>
              </w:rPr>
              <w:t xml:space="preserve">E5</w:t>
            </w:r>
          </w:p>
        </w:tc>
        <w:tc>
          <w:tcPr>
            <w:tcW w:w="3200" w:type="dxa"/>
          </w:tcPr>
          <w:p>
            <w:pPr>
              <w:spacing w:after="40" w:before="0" w:line="240" w:lineRule="auto"/>
              <w:jc w:val="left"/>
            </w:pPr>
            <w:r>
              <w:rPr>
                <w:rFonts w:ascii="Calibri" w:hAnsi="Calibri" w:cs="Arial"/>
                <w:color w:val="262626"/>
                <w:sz w:val="20"/>
                <w:szCs w:val="20"/>
              </w:rPr>
              <w:t xml:space="preserve">Trigger de alertas en Supabase, PI-02 (Figura 8)</w:t>
            </w:r>
          </w:p>
        </w:tc>
        <w:tc>
          <w:tcPr>
            <w:tcW w:w="4100" w:type="dxa"/>
          </w:tcPr>
          <w:p>
            <w:pPr>
              <w:spacing w:after="40" w:before="0" w:line="240" w:lineRule="auto"/>
              <w:jc w:val="left"/>
            </w:pPr>
            <w:r>
              <w:rPr>
                <w:rFonts w:ascii="Calibri" w:hAnsi="Calibri" w:cs="Arial"/>
                <w:color w:val="262626"/>
                <w:sz w:val="20"/>
                <w:szCs w:val="20"/>
              </w:rPr>
              <w:t xml:space="preserve">Cada evento crítico genera su alerta automáticamente, con la severidad correcta</w:t>
            </w:r>
          </w:p>
        </w:tc>
        <w:tc>
          <w:tcPr>
            <w:tcW w:w="1000" w:type="dxa"/>
          </w:tcPr>
          <w:p>
            <w:pPr>
              <w:spacing w:after="40" w:before="0" w:line="240" w:lineRule="auto"/>
              <w:jc w:val="left"/>
            </w:pPr>
            <w:r>
              <w:rPr>
                <w:rFonts w:ascii="Calibri" w:hAnsi="Calibri" w:cs="Arial"/>
                <w:color w:val="262626"/>
                <w:sz w:val="20"/>
                <w:szCs w:val="20"/>
              </w:rPr>
              <w:t xml:space="preserve">OE2</w:t>
            </w:r>
          </w:p>
        </w:tc>
      </w:tr>
      <w:tr>
        <w:tc>
          <w:tcPr>
            <w:tcW w:w="700" w:type="dxa"/>
          </w:tcPr>
          <w:p>
            <w:pPr>
              <w:spacing w:after="40" w:before="0" w:line="240" w:lineRule="auto"/>
              <w:jc w:val="left"/>
            </w:pPr>
            <w:r>
              <w:rPr>
                <w:rFonts w:ascii="Calibri" w:hAnsi="Calibri" w:cs="Arial"/>
                <w:color w:val="262626"/>
                <w:sz w:val="20"/>
                <w:szCs w:val="20"/>
              </w:rPr>
              <w:t xml:space="preserve">E6</w:t>
            </w:r>
          </w:p>
        </w:tc>
        <w:tc>
          <w:tcPr>
            <w:tcW w:w="3200" w:type="dxa"/>
          </w:tcPr>
          <w:p>
            <w:pPr>
              <w:spacing w:after="40" w:before="0" w:line="240" w:lineRule="auto"/>
              <w:jc w:val="left"/>
            </w:pPr>
            <w:r>
              <w:rPr>
                <w:rFonts w:ascii="Calibri" w:hAnsi="Calibri" w:cs="Arial"/>
                <w:color w:val="262626"/>
                <w:sz w:val="20"/>
                <w:szCs w:val="20"/>
              </w:rPr>
              <w:t xml:space="preserve">RLS con rol anónimo, PI-03 (Figura 9)</w:t>
            </w:r>
          </w:p>
        </w:tc>
        <w:tc>
          <w:tcPr>
            <w:tcW w:w="4100" w:type="dxa"/>
          </w:tcPr>
          <w:p>
            <w:pPr>
              <w:spacing w:after="40" w:before="0" w:line="240" w:lineRule="auto"/>
              <w:jc w:val="left"/>
            </w:pPr>
            <w:r>
              <w:rPr>
                <w:rFonts w:ascii="Calibri" w:hAnsi="Calibri" w:cs="Arial"/>
                <w:color w:val="262626"/>
                <w:sz w:val="20"/>
                <w:szCs w:val="20"/>
              </w:rPr>
              <w:t xml:space="preserve">Un usuario no autorizado no puede leer datos (0 filas)</w:t>
            </w:r>
          </w:p>
        </w:tc>
        <w:tc>
          <w:tcPr>
            <w:tcW w:w="1000" w:type="dxa"/>
          </w:tcPr>
          <w:p>
            <w:pPr>
              <w:spacing w:after="40" w:before="0" w:line="240" w:lineRule="auto"/>
              <w:jc w:val="left"/>
            </w:pPr>
            <w:r>
              <w:rPr>
                <w:rFonts w:ascii="Calibri" w:hAnsi="Calibri" w:cs="Arial"/>
                <w:color w:val="262626"/>
                <w:sz w:val="20"/>
                <w:szCs w:val="20"/>
              </w:rPr>
              <w:t xml:space="preserve">OE2</w:t>
            </w:r>
          </w:p>
        </w:tc>
      </w:tr>
      <w:tr>
        <w:tc>
          <w:tcPr>
            <w:tcW w:w="700" w:type="dxa"/>
          </w:tcPr>
          <w:p>
            <w:pPr>
              <w:spacing w:after="40" w:before="0" w:line="240" w:lineRule="auto"/>
              <w:jc w:val="left"/>
            </w:pPr>
            <w:r>
              <w:rPr>
                <w:rFonts w:ascii="Calibri" w:hAnsi="Calibri" w:cs="Arial"/>
                <w:color w:val="262626"/>
                <w:sz w:val="20"/>
                <w:szCs w:val="20"/>
              </w:rPr>
              <w:t xml:space="preserve">E7</w:t>
            </w:r>
          </w:p>
        </w:tc>
        <w:tc>
          <w:tcPr>
            <w:tcW w:w="3200" w:type="dxa"/>
          </w:tcPr>
          <w:p>
            <w:pPr>
              <w:spacing w:after="40" w:before="0" w:line="240" w:lineRule="auto"/>
              <w:jc w:val="left"/>
            </w:pPr>
            <w:r>
              <w:rPr>
                <w:rFonts w:ascii="Calibri" w:hAnsi="Calibri" w:cs="Arial"/>
                <w:color w:val="262626"/>
                <w:sz w:val="20"/>
                <w:szCs w:val="20"/>
              </w:rPr>
              <w:t xml:space="preserve">Seudonimización SHA-256, PU-03 (Figura 10)</w:t>
            </w:r>
          </w:p>
        </w:tc>
        <w:tc>
          <w:tcPr>
            <w:tcW w:w="4100" w:type="dxa"/>
          </w:tcPr>
          <w:p>
            <w:pPr>
              <w:spacing w:after="40" w:before="0" w:line="240" w:lineRule="auto"/>
              <w:jc w:val="left"/>
            </w:pPr>
            <w:r>
              <w:rPr>
                <w:rFonts w:ascii="Calibri" w:hAnsi="Calibri" w:cs="Arial"/>
                <w:color w:val="262626"/>
                <w:sz w:val="20"/>
                <w:szCs w:val="20"/>
              </w:rPr>
              <w:t xml:space="preserve">El consentimiento no guarda el RUT en texto plano (principio de seudonimización, Ley N° 21.719; República de Chile, 2024)</w:t>
            </w:r>
          </w:p>
        </w:tc>
        <w:tc>
          <w:tcPr>
            <w:tcW w:w="1000" w:type="dxa"/>
          </w:tcPr>
          <w:p>
            <w:pPr>
              <w:spacing w:after="40" w:before="0" w:line="240" w:lineRule="auto"/>
              <w:jc w:val="left"/>
            </w:pPr>
            <w:r>
              <w:rPr>
                <w:rFonts w:ascii="Calibri" w:hAnsi="Calibri" w:cs="Arial"/>
                <w:color w:val="262626"/>
                <w:sz w:val="20"/>
                <w:szCs w:val="20"/>
              </w:rPr>
              <w:t xml:space="preserve">OE2</w:t>
            </w:r>
          </w:p>
        </w:tc>
      </w:tr>
      <w:tr>
        <w:tc>
          <w:tcPr>
            <w:tcW w:w="700" w:type="dxa"/>
          </w:tcPr>
          <w:p>
            <w:pPr>
              <w:spacing w:after="40" w:before="0" w:line="240" w:lineRule="auto"/>
              <w:jc w:val="left"/>
            </w:pPr>
            <w:r>
              <w:rPr>
                <w:rFonts w:ascii="Calibri" w:hAnsi="Calibri" w:cs="Arial"/>
                <w:color w:val="262626"/>
                <w:sz w:val="20"/>
                <w:szCs w:val="20"/>
              </w:rPr>
              <w:t xml:space="preserve">E8</w:t>
            </w:r>
          </w:p>
        </w:tc>
        <w:tc>
          <w:tcPr>
            <w:tcW w:w="3200" w:type="dxa"/>
          </w:tcPr>
          <w:p>
            <w:pPr>
              <w:spacing w:after="40" w:before="0" w:line="240" w:lineRule="auto"/>
              <w:jc w:val="left"/>
            </w:pPr>
            <w:r>
              <w:rPr>
                <w:rFonts w:ascii="Calibri" w:hAnsi="Calibri" w:cs="Arial"/>
                <w:color w:val="262626"/>
                <w:sz w:val="20"/>
                <w:szCs w:val="20"/>
              </w:rPr>
              <w:t xml:space="preserve">Bundle HL7 FHIR R4 en producción, PI-04 (Figura 11)</w:t>
            </w:r>
          </w:p>
        </w:tc>
        <w:tc>
          <w:tcPr>
            <w:tcW w:w="4100" w:type="dxa"/>
          </w:tcPr>
          <w:p>
            <w:pPr>
              <w:spacing w:after="40" w:before="0" w:line="240" w:lineRule="auto"/>
              <w:jc w:val="left"/>
            </w:pPr>
            <w:r>
              <w:rPr>
                <w:rFonts w:ascii="Calibri" w:hAnsi="Calibri" w:cs="Arial"/>
                <w:color w:val="262626"/>
                <w:sz w:val="20"/>
                <w:szCs w:val="20"/>
              </w:rPr>
              <w:t xml:space="preserve">Implementación inicial de interoperabilidad: eventos como recursos Observation agrupados en Bundle FHIR R4, validados con la librería fhir.resources</w:t>
            </w:r>
          </w:p>
        </w:tc>
        <w:tc>
          <w:tcPr>
            <w:tcW w:w="1000" w:type="dxa"/>
          </w:tcPr>
          <w:p>
            <w:pPr>
              <w:spacing w:after="40" w:before="0" w:line="240" w:lineRule="auto"/>
              <w:jc w:val="left"/>
            </w:pPr>
            <w:r>
              <w:rPr>
                <w:rFonts w:ascii="Calibri" w:hAnsi="Calibri" w:cs="Arial"/>
                <w:color w:val="262626"/>
                <w:sz w:val="20"/>
                <w:szCs w:val="20"/>
              </w:rPr>
              <w:t xml:space="preserve">OE2</w:t>
            </w:r>
          </w:p>
        </w:tc>
      </w:tr>
      <w:tr>
        <w:tc>
          <w:tcPr>
            <w:tcW w:w="700" w:type="dxa"/>
          </w:tcPr>
          <w:p>
            <w:pPr>
              <w:spacing w:after="40" w:before="0" w:line="240" w:lineRule="auto"/>
              <w:jc w:val="left"/>
            </w:pPr>
            <w:r>
              <w:rPr>
                <w:rFonts w:ascii="Calibri" w:hAnsi="Calibri" w:cs="Arial"/>
                <w:color w:val="262626"/>
                <w:sz w:val="20"/>
                <w:szCs w:val="20"/>
              </w:rPr>
              <w:t xml:space="preserve">E9</w:t>
            </w:r>
          </w:p>
        </w:tc>
        <w:tc>
          <w:tcPr>
            <w:tcW w:w="3200" w:type="dxa"/>
          </w:tcPr>
          <w:p>
            <w:pPr>
              <w:spacing w:after="40" w:before="0" w:line="240" w:lineRule="auto"/>
              <w:jc w:val="left"/>
            </w:pPr>
            <w:r>
              <w:rPr>
                <w:rFonts w:ascii="Calibri" w:hAnsi="Calibri" w:cs="Arial"/>
                <w:color w:val="262626"/>
                <w:sz w:val="20"/>
                <w:szCs w:val="20"/>
              </w:rPr>
              <w:t xml:space="preserve">Tablero Kanban en GitHub Projects (Figura 12)</w:t>
            </w:r>
          </w:p>
        </w:tc>
        <w:tc>
          <w:tcPr>
            <w:tcW w:w="4100" w:type="dxa"/>
          </w:tcPr>
          <w:p>
            <w:pPr>
              <w:spacing w:after="40" w:before="0" w:line="240" w:lineRule="auto"/>
              <w:jc w:val="left"/>
            </w:pPr>
            <w:r>
              <w:rPr>
                <w:rFonts w:ascii="Calibri" w:hAnsi="Calibri" w:cs="Arial"/>
                <w:color w:val="262626"/>
                <w:sz w:val="20"/>
                <w:szCs w:val="20"/>
              </w:rPr>
              <w:t xml:space="preserve">Gestión ágil activa: 8 elementos terminados, 1 en curso y 4 pendientes</w:t>
            </w:r>
          </w:p>
        </w:tc>
        <w:tc>
          <w:tcPr>
            <w:tcW w:w="1000" w:type="dxa"/>
          </w:tcPr>
          <w:p>
            <w:pPr>
              <w:spacing w:after="40" w:before="0" w:line="240" w:lineRule="auto"/>
              <w:jc w:val="left"/>
            </w:pPr>
            <w:r>
              <w:rPr>
                <w:rFonts w:ascii="Calibri" w:hAnsi="Calibri" w:cs="Arial"/>
                <w:color w:val="262626"/>
                <w:sz w:val="20"/>
                <w:szCs w:val="20"/>
              </w:rPr>
              <w:t xml:space="preserve">Metodología</w:t>
            </w:r>
          </w:p>
        </w:tc>
      </w:tr>
      <w:tr>
        <w:tc>
          <w:tcPr>
            <w:tcW w:w="700" w:type="dxa"/>
          </w:tcPr>
          <w:p>
            <w:pPr>
              <w:spacing w:after="40" w:before="0" w:line="240" w:lineRule="auto"/>
              <w:jc w:val="left"/>
            </w:pPr>
            <w:r>
              <w:rPr>
                <w:rFonts w:ascii="Calibri" w:hAnsi="Calibri" w:cs="Arial"/>
                <w:color w:val="262626"/>
                <w:sz w:val="20"/>
                <w:szCs w:val="20"/>
              </w:rPr>
              <w:t xml:space="preserve">E10</w:t>
            </w:r>
          </w:p>
        </w:tc>
        <w:tc>
          <w:tcPr>
            <w:tcW w:w="3200" w:type="dxa"/>
          </w:tcPr>
          <w:p>
            <w:pPr>
              <w:spacing w:after="40" w:before="0" w:line="240" w:lineRule="auto"/>
              <w:jc w:val="left"/>
            </w:pPr>
            <w:r>
              <w:rPr>
                <w:rFonts w:ascii="Calibri" w:hAnsi="Calibri" w:cs="Arial"/>
                <w:color w:val="262626"/>
                <w:sz w:val="20"/>
                <w:szCs w:val="20"/>
              </w:rPr>
              <w:t xml:space="preserve">Fichas de sprint y retrospectivas (docs/fase2/evidencias_proyecto/documentacion/agil)</w:t>
            </w:r>
          </w:p>
        </w:tc>
        <w:tc>
          <w:tcPr>
            <w:tcW w:w="4100" w:type="dxa"/>
          </w:tcPr>
          <w:p>
            <w:pPr>
              <w:spacing w:after="40" w:before="0" w:line="240" w:lineRule="auto"/>
              <w:jc w:val="left"/>
            </w:pPr>
            <w:r>
              <w:rPr>
                <w:rFonts w:ascii="Calibri" w:hAnsi="Calibri" w:cs="Arial"/>
                <w:color w:val="262626"/>
                <w:sz w:val="20"/>
                <w:szCs w:val="20"/>
              </w:rPr>
              <w:t xml:space="preserve">Ciclo Scrum completo: planificar, ejecutar, revisar y mejorar</w:t>
            </w:r>
          </w:p>
        </w:tc>
        <w:tc>
          <w:tcPr>
            <w:tcW w:w="1000" w:type="dxa"/>
          </w:tcPr>
          <w:p>
            <w:pPr>
              <w:spacing w:after="40" w:before="0" w:line="240" w:lineRule="auto"/>
              <w:jc w:val="left"/>
            </w:pPr>
            <w:r>
              <w:rPr>
                <w:rFonts w:ascii="Calibri" w:hAnsi="Calibri" w:cs="Arial"/>
                <w:color w:val="262626"/>
                <w:sz w:val="20"/>
                <w:szCs w:val="20"/>
              </w:rPr>
              <w:t xml:space="preserve">Metodología</w:t>
            </w:r>
          </w:p>
        </w:tc>
      </w:tr>
      <w:tr>
        <w:tc>
          <w:tcPr>
            <w:tcW w:w="700" w:type="dxa"/>
          </w:tcPr>
          <w:p>
            <w:pPr>
              <w:spacing w:after="40" w:before="0" w:line="240" w:lineRule="auto"/>
              <w:jc w:val="left"/>
            </w:pPr>
            <w:r>
              <w:rPr>
                <w:rFonts w:ascii="Calibri" w:hAnsi="Calibri" w:cs="Arial"/>
                <w:color w:val="262626"/>
                <w:sz w:val="20"/>
                <w:szCs w:val="20"/>
              </w:rPr>
              <w:t xml:space="preserve">E11</w:t>
            </w:r>
          </w:p>
        </w:tc>
        <w:tc>
          <w:tcPr>
            <w:tcW w:w="3200" w:type="dxa"/>
          </w:tcPr>
          <w:p>
            <w:pPr>
              <w:spacing w:after="40" w:before="0" w:line="240" w:lineRule="auto"/>
              <w:jc w:val="left"/>
            </w:pPr>
            <w:r>
              <w:rPr>
                <w:rFonts w:ascii="Calibri" w:hAnsi="Calibri" w:cs="Arial"/>
                <w:color w:val="262626"/>
                <w:sz w:val="20"/>
                <w:szCs w:val="20"/>
              </w:rPr>
              <w:t xml:space="preserve">Prueba PR-02 de entrega ntfy (Figura 13)</w:t>
            </w:r>
          </w:p>
        </w:tc>
        <w:tc>
          <w:tcPr>
            <w:tcW w:w="4100" w:type="dxa"/>
          </w:tcPr>
          <w:p>
            <w:pPr>
              <w:spacing w:after="40" w:before="0" w:line="240" w:lineRule="auto"/>
              <w:jc w:val="left"/>
            </w:pPr>
            <w:r>
              <w:rPr>
                <w:rFonts w:ascii="Calibri" w:hAnsi="Calibri" w:cs="Arial"/>
                <w:color w:val="262626"/>
                <w:sz w:val="20"/>
                <w:szCs w:val="20"/>
              </w:rPr>
              <w:t xml:space="preserve">30 de 30 avisos de caída recibidos en el celular del cuidador (100 %)</w:t>
            </w:r>
          </w:p>
        </w:tc>
        <w:tc>
          <w:tcPr>
            <w:tcW w:w="1000" w:type="dxa"/>
          </w:tcPr>
          <w:p>
            <w:pPr>
              <w:spacing w:after="40" w:before="0" w:line="240" w:lineRule="auto"/>
              <w:jc w:val="left"/>
            </w:pPr>
            <w:r>
              <w:rPr>
                <w:rFonts w:ascii="Calibri" w:hAnsi="Calibri" w:cs="Arial"/>
                <w:color w:val="262626"/>
                <w:sz w:val="20"/>
                <w:szCs w:val="20"/>
              </w:rPr>
              <w:t xml:space="preserve">OE3</w:t>
            </w:r>
          </w:p>
        </w:tc>
      </w:tr>
      <w:tr>
        <w:tc>
          <w:tcPr>
            <w:tcW w:w="700" w:type="dxa"/>
          </w:tcPr>
          <w:p>
            <w:pPr>
              <w:spacing w:after="40" w:before="0" w:line="240" w:lineRule="auto"/>
              <w:jc w:val="left"/>
            </w:pPr>
            <w:r>
              <w:rPr>
                <w:rFonts w:ascii="Calibri" w:hAnsi="Calibri" w:cs="Arial"/>
                <w:color w:val="262626"/>
                <w:sz w:val="20"/>
                <w:szCs w:val="20"/>
              </w:rPr>
              <w:t xml:space="preserve">E12</w:t>
            </w:r>
          </w:p>
        </w:tc>
        <w:tc>
          <w:tcPr>
            <w:tcW w:w="3200" w:type="dxa"/>
          </w:tcPr>
          <w:p>
            <w:pPr>
              <w:spacing w:after="40" w:before="0" w:line="240" w:lineRule="auto"/>
              <w:jc w:val="left"/>
            </w:pPr>
            <w:r>
              <w:rPr>
                <w:rFonts w:ascii="Calibri" w:hAnsi="Calibri" w:cs="Arial"/>
                <w:color w:val="262626"/>
                <w:sz w:val="20"/>
                <w:szCs w:val="20"/>
              </w:rPr>
              <w:t xml:space="preserve">Prueba PR-03 sin conexión (Figura 14)</w:t>
            </w:r>
          </w:p>
        </w:tc>
        <w:tc>
          <w:tcPr>
            <w:tcW w:w="4100" w:type="dxa"/>
          </w:tcPr>
          <w:p>
            <w:pPr>
              <w:spacing w:after="40" w:before="0" w:line="240" w:lineRule="auto"/>
              <w:jc w:val="left"/>
            </w:pPr>
            <w:r>
              <w:rPr>
                <w:rFonts w:ascii="Calibri" w:hAnsi="Calibri" w:cs="Arial"/>
                <w:color w:val="262626"/>
                <w:sz w:val="20"/>
                <w:szCs w:val="20"/>
              </w:rPr>
              <w:t xml:space="preserve">Sin internet, el modo borde guarda y muestra 10 de 10 caídas</w:t>
            </w:r>
          </w:p>
        </w:tc>
        <w:tc>
          <w:tcPr>
            <w:tcW w:w="1000" w:type="dxa"/>
          </w:tcPr>
          <w:p>
            <w:pPr>
              <w:spacing w:after="40" w:before="0" w:line="240" w:lineRule="auto"/>
              <w:jc w:val="left"/>
            </w:pPr>
            <w:r>
              <w:rPr>
                <w:rFonts w:ascii="Calibri" w:hAnsi="Calibri" w:cs="Arial"/>
                <w:color w:val="262626"/>
                <w:sz w:val="20"/>
                <w:szCs w:val="20"/>
              </w:rPr>
              <w:t xml:space="preserve">OE1</w:t>
            </w:r>
          </w:p>
        </w:tc>
      </w:tr>
      <w:tr>
        <w:tc>
          <w:tcPr>
            <w:tcW w:w="700" w:type="dxa"/>
          </w:tcPr>
          <w:p>
            <w:pPr>
              <w:spacing w:after="40" w:before="0" w:line="240" w:lineRule="auto"/>
              <w:jc w:val="left"/>
            </w:pPr>
            <w:r>
              <w:rPr>
                <w:rFonts w:ascii="Calibri" w:hAnsi="Calibri" w:cs="Arial"/>
                <w:color w:val="262626"/>
                <w:sz w:val="20"/>
                <w:szCs w:val="20"/>
              </w:rPr>
              <w:t xml:space="preserve">E13</w:t>
            </w:r>
          </w:p>
        </w:tc>
        <w:tc>
          <w:tcPr>
            <w:tcW w:w="3200" w:type="dxa"/>
          </w:tcPr>
          <w:p>
            <w:pPr>
              <w:spacing w:after="40" w:before="0" w:line="240" w:lineRule="auto"/>
              <w:jc w:val="left"/>
            </w:pPr>
            <w:r>
              <w:rPr>
                <w:rFonts w:ascii="Calibri" w:hAnsi="Calibri" w:cs="Arial"/>
                <w:color w:val="262626"/>
                <w:sz w:val="20"/>
                <w:szCs w:val="20"/>
              </w:rPr>
              <w:t xml:space="preserve">Pruebas PS-01 y PS-01b en producción (Figura 15)</w:t>
            </w:r>
          </w:p>
        </w:tc>
        <w:tc>
          <w:tcPr>
            <w:tcW w:w="4100" w:type="dxa"/>
          </w:tcPr>
          <w:p>
            <w:pPr>
              <w:spacing w:after="40" w:before="0" w:line="240" w:lineRule="auto"/>
              <w:jc w:val="left"/>
            </w:pPr>
            <w:r>
              <w:rPr>
                <w:rFonts w:ascii="Calibri" w:hAnsi="Calibri" w:cs="Arial"/>
                <w:color w:val="262626"/>
                <w:sz w:val="20"/>
                <w:szCs w:val="20"/>
              </w:rPr>
              <w:t xml:space="preserve">Solo los sensores con clave envían datos y solo el cuidador con sesión atiende alertas (3/3 y 3/3)</w:t>
            </w:r>
          </w:p>
        </w:tc>
        <w:tc>
          <w:tcPr>
            <w:tcW w:w="1000" w:type="dxa"/>
          </w:tcPr>
          <w:p>
            <w:pPr>
              <w:spacing w:after="40" w:before="0" w:line="240" w:lineRule="auto"/>
              <w:jc w:val="left"/>
            </w:pPr>
            <w:r>
              <w:rPr>
                <w:rFonts w:ascii="Calibri" w:hAnsi="Calibri" w:cs="Arial"/>
                <w:color w:val="262626"/>
                <w:sz w:val="20"/>
                <w:szCs w:val="20"/>
              </w:rPr>
              <w:t xml:space="preserve">OE2</w:t>
            </w:r>
          </w:p>
        </w:tc>
      </w:tr>
      <w:tr>
        <w:tc>
          <w:tcPr>
            <w:tcW w:w="700" w:type="dxa"/>
          </w:tcPr>
          <w:p>
            <w:pPr>
              <w:spacing w:after="40" w:before="0" w:line="240" w:lineRule="auto"/>
              <w:jc w:val="left"/>
            </w:pPr>
            <w:r>
              <w:rPr>
                <w:rFonts w:ascii="Calibri" w:hAnsi="Calibri" w:cs="Arial"/>
                <w:color w:val="262626"/>
                <w:sz w:val="20"/>
                <w:szCs w:val="20"/>
              </w:rPr>
              <w:t xml:space="preserve">E14</w:t>
            </w:r>
          </w:p>
        </w:tc>
        <w:tc>
          <w:tcPr>
            <w:tcW w:w="3200" w:type="dxa"/>
          </w:tcPr>
          <w:p>
            <w:pPr>
              <w:spacing w:after="40" w:before="0" w:line="240" w:lineRule="auto"/>
              <w:jc w:val="left"/>
            </w:pPr>
            <w:r>
              <w:rPr>
                <w:rFonts w:ascii="Calibri" w:hAnsi="Calibri" w:cs="Arial"/>
                <w:color w:val="262626"/>
                <w:sz w:val="20"/>
                <w:szCs w:val="20"/>
              </w:rPr>
              <w:t xml:space="preserve">Pruebas PI-05 y PI-03b (registro de pruebas)</w:t>
            </w:r>
          </w:p>
        </w:tc>
        <w:tc>
          <w:tcPr>
            <w:tcW w:w="4100" w:type="dxa"/>
          </w:tcPr>
          <w:p>
            <w:pPr>
              <w:spacing w:after="40" w:before="0" w:line="240" w:lineRule="auto"/>
              <w:jc w:val="left"/>
            </w:pPr>
            <w:r>
              <w:rPr>
                <w:rFonts w:ascii="Calibri" w:hAnsi="Calibri" w:cs="Arial"/>
                <w:color w:val="262626"/>
                <w:sz w:val="20"/>
                <w:szCs w:val="20"/>
              </w:rPr>
              <w:t xml:space="preserve">Recurso FHIR Patient correctamente estructurado y validado mediante la librería fhir.resources (8/8), sin datos identificatorios directos; tabla de sensores con RLS (0 filas para el rol anónimo)</w:t>
            </w:r>
          </w:p>
        </w:tc>
        <w:tc>
          <w:tcPr>
            <w:tcW w:w="1000" w:type="dxa"/>
          </w:tcPr>
          <w:p>
            <w:pPr>
              <w:spacing w:after="40" w:before="0" w:line="240" w:lineRule="auto"/>
              <w:jc w:val="left"/>
            </w:pPr>
            <w:r>
              <w:rPr>
                <w:rFonts w:ascii="Calibri" w:hAnsi="Calibri" w:cs="Arial"/>
                <w:color w:val="262626"/>
                <w:sz w:val="20"/>
                <w:szCs w:val="20"/>
              </w:rPr>
              <w:t xml:space="preserve">OE2</w:t>
            </w:r>
          </w:p>
        </w:tc>
      </w:tr>
      <w:tr>
        <w:tc>
          <w:tcPr>
            <w:tcW w:w="700" w:type="dxa"/>
          </w:tcPr>
          <w:p>
            <w:pPr>
              <w:spacing w:after="40" w:before="0" w:line="240" w:lineRule="auto"/>
              <w:jc w:val="left"/>
            </w:pPr>
            <w:r>
              <w:rPr>
                <w:rFonts w:ascii="Calibri" w:hAnsi="Calibri" w:cs="Arial"/>
                <w:color w:val="262626"/>
                <w:sz w:val="20"/>
                <w:szCs w:val="20"/>
              </w:rPr>
              <w:t xml:space="preserve">E15</w:t>
            </w:r>
          </w:p>
        </w:tc>
        <w:tc>
          <w:tcPr>
            <w:tcW w:w="3200" w:type="dxa"/>
          </w:tcPr>
          <w:p>
            <w:pPr>
              <w:spacing w:after="40" w:before="0" w:line="240" w:lineRule="auto"/>
              <w:jc w:val="left"/>
            </w:pPr>
            <w:r>
              <w:rPr>
                <w:rFonts w:ascii="Calibri" w:hAnsi="Calibri" w:cs="Arial"/>
                <w:color w:val="262626"/>
                <w:sz w:val="20"/>
                <w:szCs w:val="20"/>
              </w:rPr>
              <w:t xml:space="preserve">Prueba PU-04 y estado del sistema en el panel (Figura 16)</w:t>
            </w:r>
          </w:p>
        </w:tc>
        <w:tc>
          <w:tcPr>
            <w:tcW w:w="4100" w:type="dxa"/>
          </w:tcPr>
          <w:p>
            <w:pPr>
              <w:spacing w:after="40" w:before="0" w:line="240" w:lineRule="auto"/>
              <w:jc w:val="left"/>
            </w:pPr>
            <w:r>
              <w:rPr>
                <w:rFonts w:ascii="Calibri" w:hAnsi="Calibri" w:cs="Arial"/>
                <w:color w:val="262626"/>
                <w:sz w:val="20"/>
                <w:szCs w:val="20"/>
              </w:rPr>
              <w:t xml:space="preserve">Regla de la puerta principal (10/10) y componentes simulados identificados en el panel</w:t>
            </w:r>
          </w:p>
        </w:tc>
        <w:tc>
          <w:tcPr>
            <w:tcW w:w="1000" w:type="dxa"/>
          </w:tcPr>
          <w:p>
            <w:pPr>
              <w:spacing w:after="40" w:before="0" w:line="240" w:lineRule="auto"/>
              <w:jc w:val="left"/>
            </w:pPr>
            <w:r>
              <w:rPr>
                <w:rFonts w:ascii="Calibri" w:hAnsi="Calibri" w:cs="Arial"/>
                <w:color w:val="262626"/>
                <w:sz w:val="20"/>
                <w:szCs w:val="20"/>
              </w:rPr>
              <w:t xml:space="preserve">OE1 y OE3</w:t>
            </w:r>
          </w:p>
        </w:tc>
      </w:tr>
      <w:tr>
        <w:tc>
          <w:tcPr>
            <w:tcW w:w="700" w:type="dxa"/>
          </w:tcPr>
          <w:p>
            <w:pPr>
              <w:spacing w:after="40" w:before="0" w:line="240" w:lineRule="auto"/>
              <w:jc w:val="left"/>
            </w:pPr>
            <w:r>
              <w:rPr>
                <w:rFonts w:ascii="Calibri" w:hAnsi="Calibri" w:cs="Arial"/>
                <w:color w:val="262626"/>
                <w:sz w:val="20"/>
                <w:szCs w:val="20"/>
              </w:rPr>
              <w:t xml:space="preserve">E16</w:t>
            </w:r>
          </w:p>
        </w:tc>
        <w:tc>
          <w:tcPr>
            <w:tcW w:w="3200" w:type="dxa"/>
          </w:tcPr>
          <w:p>
            <w:pPr>
              <w:spacing w:after="40" w:before="0" w:line="240" w:lineRule="auto"/>
              <w:jc w:val="left"/>
            </w:pPr>
            <w:r>
              <w:rPr>
                <w:rFonts w:ascii="Calibri" w:hAnsi="Calibri" w:cs="Arial"/>
                <w:color w:val="262626"/>
                <w:sz w:val="20"/>
                <w:szCs w:val="20"/>
              </w:rPr>
              <w:t xml:space="preserve">Migraciones de la base de datos, PI-06 y PI-07 (Figura 17)</w:t>
            </w:r>
          </w:p>
        </w:tc>
        <w:tc>
          <w:tcPr>
            <w:tcW w:w="4100" w:type="dxa"/>
          </w:tcPr>
          <w:p>
            <w:pPr>
              <w:spacing w:after="40" w:before="0" w:line="240" w:lineRule="auto"/>
              <w:jc w:val="left"/>
            </w:pPr>
            <w:r>
              <w:rPr>
                <w:rFonts w:ascii="Calibri" w:hAnsi="Calibri" w:cs="Arial"/>
                <w:color w:val="262626"/>
                <w:sz w:val="20"/>
                <w:szCs w:val="20"/>
              </w:rPr>
              <w:t xml:space="preserve">Fechas en UTC sin pérdida de datos y 1.463 inconsistencias de atención corregidas a 0, con respaldo y medición antes y después</w:t>
            </w:r>
          </w:p>
        </w:tc>
        <w:tc>
          <w:tcPr>
            <w:tcW w:w="1000" w:type="dxa"/>
          </w:tcPr>
          <w:p>
            <w:pPr>
              <w:spacing w:after="40" w:before="0" w:line="240" w:lineRule="auto"/>
              <w:jc w:val="left"/>
            </w:pPr>
            <w:r>
              <w:rPr>
                <w:rFonts w:ascii="Calibri" w:hAnsi="Calibri" w:cs="Arial"/>
                <w:color w:val="262626"/>
                <w:sz w:val="20"/>
                <w:szCs w:val="20"/>
              </w:rPr>
              <w:t xml:space="preserve">OE2</w:t>
            </w:r>
          </w:p>
        </w:tc>
      </w:tr>
    </w:tbl>
    <w:p>
      <w:pPr>
        <w:spacing w:after="100" w:before="0" w:line="240"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40" w:lineRule="auto"/>
              <w:jc w:val="left"/>
            </w:pPr>
            <w:r>
              <w:rPr>
                <w:rFonts w:ascii="Consolas" w:hAnsi="Consolas" w:cs="Arial"/>
                <w:color w:val="1F3864"/>
                <w:sz w:val="20"/>
                <w:szCs w:val="20"/>
              </w:rPr>
              <w:t xml:space="preserve">{ "resourceType": "Bundle", "type": "searchset", "total": 3,</w:t>
            </w:r>
          </w:p>
          <w:p>
            <w:pPr>
              <w:spacing w:after="0" w:before="0" w:line="240" w:lineRule="auto"/>
              <w:jc w:val="left"/>
            </w:pPr>
            <w:r>
              <w:rPr>
                <w:rFonts w:ascii="Consolas" w:hAnsi="Consolas" w:cs="Arial"/>
                <w:color w:val="1F3864"/>
                <w:sz w:val="20"/>
                <w:szCs w:val="20"/>
              </w:rPr>
              <w:t xml:space="preserve">  "entry": [ { "resource": { "resourceType": "Observation", "status": "final",</w:t>
            </w:r>
          </w:p>
          <w:p>
            <w:pPr>
              <w:spacing w:after="0" w:before="0" w:line="240" w:lineRule="auto"/>
              <w:jc w:val="left"/>
            </w:pPr>
            <w:r>
              <w:rPr>
                <w:rFonts w:ascii="Consolas" w:hAnsi="Consolas" w:cs="Arial"/>
                <w:color w:val="1F3864"/>
                <w:sz w:val="20"/>
                <w:szCs w:val="20"/>
              </w:rPr>
              <w:t xml:space="preserve">      "code": { "coding": [ { "system": "http://snomed.info/sct",</w:t>
            </w:r>
          </w:p>
          <w:p>
            <w:pPr>
              <w:spacing w:after="0" w:before="0" w:line="240" w:lineRule="auto"/>
              <w:jc w:val="left"/>
            </w:pPr>
            <w:r>
              <w:rPr>
                <w:rFonts w:ascii="Consolas" w:hAnsi="Consolas" w:cs="Arial"/>
                <w:color w:val="1F3864"/>
                <w:sz w:val="20"/>
                <w:szCs w:val="20"/>
              </w:rPr>
              <w:t xml:space="preserve">                              "code": "1912002", "display": "Fall (event)" } ] },</w:t>
            </w:r>
          </w:p>
          <w:p>
            <w:pPr>
              <w:spacing w:after="0" w:before="0" w:line="240" w:lineRule="auto"/>
              <w:jc w:val="left"/>
            </w:pPr>
            <w:r>
              <w:rPr>
                <w:rFonts w:ascii="Consolas" w:hAnsi="Consolas" w:cs="Arial"/>
                <w:color w:val="1F3864"/>
                <w:sz w:val="20"/>
                <w:szCs w:val="20"/>
              </w:rPr>
              <w:t xml:space="preserve">      "subject": { "reference": "Patient/domovida-p001",</w:t>
            </w:r>
          </w:p>
          <w:p>
            <w:pPr>
              <w:spacing w:after="0" w:before="0" w:line="240" w:lineRule="auto"/>
              <w:jc w:val="left"/>
            </w:pPr>
            <w:r>
              <w:rPr>
                <w:rFonts w:ascii="Consolas" w:hAnsi="Consolas" w:cs="Arial"/>
                <w:color w:val="1F3864"/>
                <w:sz w:val="20"/>
                <w:szCs w:val="20"/>
              </w:rPr>
              <w:t xml:space="preserve">                   "display": "Adulto mayor (seudonimizado)" },</w:t>
            </w:r>
          </w:p>
          <w:p>
            <w:pPr>
              <w:spacing w:after="0" w:before="0" w:line="240" w:lineRule="auto"/>
              <w:jc w:val="left"/>
            </w:pPr>
            <w:r>
              <w:rPr>
                <w:rFonts w:ascii="Consolas" w:hAnsi="Consolas" w:cs="Arial"/>
                <w:color w:val="1F3864"/>
                <w:sz w:val="20"/>
                <w:szCs w:val="20"/>
              </w:rPr>
              <w:t xml:space="preserve">      "interpretation": [ { "coding": [ { "code": "AA" } ] } ],</w:t>
            </w:r>
          </w:p>
          <w:p>
            <w:pPr>
              <w:spacing w:after="0" w:before="0" w:line="240" w:lineRule="auto"/>
              <w:jc w:val="left"/>
            </w:pPr>
            <w:r>
              <w:rPr>
                <w:rFonts w:ascii="Consolas" w:hAnsi="Consolas" w:cs="Arial"/>
                <w:color w:val="1F3864"/>
                <w:sz w:val="20"/>
                <w:szCs w:val="20"/>
              </w:rPr>
              <w:t xml:space="preserve">      "effectiveDateTime": "2026-10-02T15:06:23+00:00" } } ] }</w:t>
            </w:r>
          </w:p>
        </w:tc>
      </w:tr>
    </w:tbl>
    <w:p>
      <w:pPr>
        <w:spacing w:after="200" w:before="0" w:line="240" w:lineRule="auto"/>
        <w:jc w:val="center"/>
      </w:pPr>
      <w:r>
        <w:rPr>
          <w:rFonts w:ascii="Calibri" w:hAnsi="Calibri" w:cs="Arial"/>
          <w:i/>
          <w:color w:val="1F3864"/>
          <w:sz w:val="22"/>
          <w:szCs w:val="22"/>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12. Tablero Kanban del proyecto al 2 de octubre de 2026 (E9).</w:t>
      </w:r>
    </w:p>
    <w:p xmlns:a="http://schemas.openxmlformats.org/drawingml/2006/main" xmlns:pic="http://schemas.openxmlformats.org/drawingml/2006/picture">
      <w:pPr>
        <w:keepNext/>
        <w:spacing w:before="120" w:after="40"/>
        <w:jc w:val="center"/>
      </w:pPr>
      <w:r>
        <w:drawing>
          <wp:inline distT="0" distB="0" distL="0" distR="0">
            <wp:extent cx="1980000" cy="2255000"/>
            <wp:docPr id="112" name="Evidencia 112"/>
            <a:graphic>
              <a:graphicData uri="http://schemas.openxmlformats.org/drawingml/2006/picture">
                <pic:pic>
                  <pic:nvPicPr>
                    <pic:cNvPr id="112" name="evid112.png"/>
                    <pic:cNvPicPr/>
                  </pic:nvPicPr>
                  <pic:blipFill>
                    <a:blip r:embed="rIdImg112"/>
                    <a:stretch>
                      <a:fillRect/>
                    </a:stretch>
                  </pic:blipFill>
                  <pic:spPr>
                    <a:xfrm>
                      <a:off x="0" y="0"/>
                      <a:ext cx="1980000" cy="2255000"/>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13. PR-02: los 30 avisos «CAÍDA DETECTADA» recibidos en el celular del cuidador, 03-10-2026 (E11).</w:t>
      </w:r>
    </w:p>
    <w:p xmlns:a="http://schemas.openxmlformats.org/drawingml/2006/main" xmlns:pic="http://schemas.openxmlformats.org/drawingml/2006/picture">
      <w:pPr>
        <w:keepNext/>
        <w:spacing w:before="120" w:after="40"/>
        <w:jc w:val="center"/>
      </w:pPr>
      <w:r>
        <w:drawing>
          <wp:inline distT="0" distB="0" distL="0" distR="0">
            <wp:extent cx="4320000" cy="4590000"/>
            <wp:docPr id="113" name="Evidencia 113"/>
            <a:graphic>
              <a:graphicData uri="http://schemas.openxmlformats.org/drawingml/2006/picture">
                <pic:pic>
                  <pic:nvPicPr>
                    <pic:cNvPr id="113" name="evid113.png"/>
                    <pic:cNvPicPr/>
                  </pic:nvPicPr>
                  <pic:blipFill>
                    <a:blip r:embed="rIdImg113"/>
                    <a:stretch>
                      <a:fillRect/>
                    </a:stretch>
                  </pic:blipFill>
                  <pic:spPr>
                    <a:xfrm>
                      <a:off x="0" y="0"/>
                      <a:ext cx="4320000" cy="4590000"/>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14. PR-03: panel local sin internet; ntfy fuera de línea y el resto del sistema operativo (E12).</w:t>
      </w:r>
    </w:p>
    <w:p xmlns:a="http://schemas.openxmlformats.org/drawingml/2006/main" xmlns:pic="http://schemas.openxmlformats.org/drawingml/2006/picture">
      <w:pPr>
        <w:keepNext/>
        <w:spacing w:before="120" w:after="40"/>
        <w:jc w:val="center"/>
      </w:pPr>
      <w:r>
        <w:drawing>
          <wp:inline distT="0" distB="0" distL="0" distR="0">
            <wp:extent cx="4680000" cy="2486250"/>
            <wp:docPr id="114" name="Evidencia 114"/>
            <a:graphic>
              <a:graphicData uri="http://schemas.openxmlformats.org/drawingml/2006/picture">
                <pic:pic>
                  <pic:nvPicPr>
                    <pic:cNvPr id="114" name="evid114.png"/>
                    <pic:cNvPicPr/>
                  </pic:nvPicPr>
                  <pic:blipFill>
                    <a:blip r:embed="rIdImg114"/>
                    <a:stretch>
                      <a:fillRect/>
                    </a:stretch>
                  </pic:blipFill>
                  <pic:spPr>
                    <a:xfrm>
                      <a:off x="0" y="0"/>
                      <a:ext cx="4680000" cy="2486250"/>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15. PS-01b en producción: sin sesión y con token falso 401; con la sesión del cuidador 200 y su correo registrado (E13).</w:t>
      </w:r>
    </w:p>
    <w:p xmlns:a="http://schemas.openxmlformats.org/drawingml/2006/main" xmlns:pic="http://schemas.openxmlformats.org/drawingml/2006/picture">
      <w:pPr>
        <w:keepNext/>
        <w:spacing w:before="120" w:after="40"/>
        <w:jc w:val="center"/>
      </w:pPr>
      <w:r>
        <w:drawing>
          <wp:inline distT="0" distB="0" distL="0" distR="0">
            <wp:extent cx="3600000" cy="3825000"/>
            <wp:docPr id="115" name="Evidencia 115"/>
            <a:graphic>
              <a:graphicData uri="http://schemas.openxmlformats.org/drawingml/2006/picture">
                <pic:pic>
                  <pic:nvPicPr>
                    <pic:cNvPr id="115" name="evid115.png"/>
                    <pic:cNvPicPr/>
                  </pic:nvPicPr>
                  <pic:blipFill>
                    <a:blip r:embed="rIdImg115"/>
                    <a:stretch>
                      <a:fillRect/>
                    </a:stretch>
                  </pic:blipFill>
                  <pic:spPr>
                    <a:xfrm>
                      <a:off x="0" y="0"/>
                      <a:ext cx="3600000" cy="3825000"/>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16. Estado del sistema en el panel: Raspberry Pi y MQTT marcados como simulados (E15).</w:t>
      </w:r>
    </w:p>
    <w:p xmlns:a="http://schemas.openxmlformats.org/drawingml/2006/main" xmlns:pic="http://schemas.openxmlformats.org/drawingml/2006/picture">
      <w:pPr>
        <w:keepNext/>
        <w:spacing w:before="120" w:after="40"/>
        <w:jc w:val="center"/>
      </w:pPr>
      <w:r>
        <w:drawing>
          <wp:inline distT="0" distB="0" distL="0" distR="0">
            <wp:extent cx="4680000" cy="1472359"/>
            <wp:docPr id="116" name="Evidencia 116"/>
            <a:graphic>
              <a:graphicData uri="http://schemas.openxmlformats.org/drawingml/2006/picture">
                <pic:pic>
                  <pic:nvPicPr>
                    <pic:cNvPr id="116" name="evid116.png"/>
                    <pic:cNvPicPr/>
                  </pic:nvPicPr>
                  <pic:blipFill>
                    <a:blip r:embed="rIdImg116"/>
                    <a:stretch>
                      <a:fillRect/>
                    </a:stretch>
                  </pic:blipFill>
                  <pic:spPr>
                    <a:xfrm>
                      <a:off x="0" y="0"/>
                      <a:ext cx="4680000" cy="1472359"/>
                    </a:xfrm>
                    <a:prstGeom prst="rect">
                      <a:avLst/>
                    </a:prstGeom>
                    <a:ln w="6350">
                      <a:solidFill>
                        <a:srgbClr val="BFBFBF"/>
                      </a:solidFill>
                    </a:ln>
                  </pic:spPr>
                </pic:pic>
              </a:graphicData>
            </a:graphic>
          </wp:inline>
        </w:drawing>
      </w:r>
    </w:p>
    <w:p>
      <w:pPr>
        <w:spacing w:after="200" w:before="0" w:line="240" w:lineRule="auto"/>
        <w:jc w:val="center"/>
      </w:pPr>
      <w:r>
        <w:rPr>
          <w:rFonts w:ascii="Calibri" w:hAnsi="Calibri" w:cs="Arial"/>
          <w:i/>
          <w:color w:val="1F3864"/>
          <w:sz w:val="22"/>
          <w:szCs w:val="22"/>
        </w:rPr>
        <w:t xml:space="preserve">Figura 17. PI-07: consulta en Supabase antes y después de la migración 002; las diferencias de atención entre eventos y alertas bajan de 1.463 a 0 (E16).</w:t>
      </w:r>
    </w:p>
    <w:p>
      <w:pPr>
        <w:sectPr w:rsidR="0003309E" w:rsidRPr="0003309E">
          <w:headerReference w:type="default" r:id="rId10"/>
          <w:headerReference w:type="first" r:id="rId10"/>
          <w:footerReference w:type="default" r:id="rIdFtr1"/>
          <w:pgSz w:w="11906" w:h="16838"/>
          <w:pgMar w:top="1417" w:right="1701" w:bottom="1417" w:left="1701" w:header="708" w:footer="708" w:gutter="0"/>
          <w:cols w:space="708"/>
          <w:titlePg/>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20"/>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20"/>
              </w:rPr>
              <w:t>C</w:t>
            </w:r>
            <w:r w:rsidRPr="006E3B0D">
              <w:rPr>
                <w:rFonts w:ascii="Calibri" w:hAnsi="Calibri"/>
                <w:color w:val="1F3864" w:themeColor="accent1" w:themeShade="80"/>
                <w:sz w:val="20"/>
              </w:rPr>
              <w:t>ompetencia</w:t>
            </w:r>
            <w:r>
              <w:rPr>
                <w:rFonts w:ascii="Calibri" w:hAnsi="Calibri"/>
                <w:color w:val="1F3864" w:themeColor="accent1" w:themeShade="80"/>
                <w:sz w:val="20"/>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20"/>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20"/>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20"/>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20"/>
              </w:rPr>
              <w:t>Responsable</w:t>
            </w:r>
            <w:r w:rsidRPr="006E3B0D">
              <w:rPr>
                <w:rStyle w:val="Refdenotaalpie"/>
                <w:rFonts w:ascii="Calibri" w:hAnsi="Calibri"/>
                <w:color w:val="1F3864" w:themeColor="accent1" w:themeShade="80"/>
                <w:sz w:val="20"/>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20"/>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20"/>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20"/>
              </w:rPr>
              <w:t>A</w:t>
            </w:r>
            <w:r w:rsidRPr="006E3B0D">
              <w:rPr>
                <w:rFonts w:ascii="Calibri" w:hAnsi="Calibri"/>
                <w:color w:val="1F3864" w:themeColor="accent1" w:themeShade="80"/>
                <w:sz w:val="20"/>
              </w:rPr>
              <w:t>justes</w:t>
            </w:r>
          </w:p>
        </w:tc>
      </w:tr>
      <w:tr>
        <w:tc>
          <w:tcPr>
            <w:tcW w:w="1500" w:type="dxa"/>
          </w:tcPr>
          <w:p>
            <w:pPr>
              <w:spacing w:after="40" w:before="0" w:line="240" w:lineRule="auto"/>
              <w:jc w:val="left"/>
            </w:pPr>
            <w:r>
              <w:rPr>
                <w:rFonts w:ascii="Calibri" w:hAnsi="Calibri" w:cs="Arial"/>
                <w:color w:val="262626"/>
                <w:sz w:val="20"/>
                <w:szCs w:val="20"/>
              </w:rPr>
              <w:t xml:space="preserve">Gestionar proyectos informáticos</w:t>
            </w:r>
          </w:p>
        </w:tc>
        <w:tc>
          <w:tcPr>
            <w:tcW w:w="2400" w:type="dxa"/>
          </w:tcPr>
          <w:p>
            <w:pPr>
              <w:spacing w:after="40" w:before="0" w:line="240" w:lineRule="auto"/>
              <w:jc w:val="left"/>
            </w:pPr>
            <w:r>
              <w:rPr>
                <w:rFonts w:ascii="Calibri" w:hAnsi="Calibri" w:cs="Arial"/>
                <w:b/>
                <w:color w:val="262626"/>
                <w:sz w:val="20"/>
                <w:szCs w:val="20"/>
              </w:rPr>
              <w:t xml:space="preserve">Sprint 1: Levantamiento y planificación.</w:t>
            </w:r>
            <w:r>
              <w:rPr>
                <w:rFonts w:ascii="Calibri" w:hAnsi="Calibri" w:cs="Arial"/>
                <w:color w:val="262626"/>
                <w:sz w:val="20"/>
                <w:szCs w:val="20"/>
              </w:rPr>
              <w:t xml:space="preserve"> Análisis de la problemática, requisitos, historias de usuario, Product Backlog, repositorio y bitácora.</w:t>
            </w:r>
          </w:p>
        </w:tc>
        <w:tc>
          <w:tcPr>
            <w:tcW w:w="1500" w:type="dxa"/>
          </w:tcPr>
          <w:p>
            <w:pPr>
              <w:spacing w:after="40" w:before="0" w:line="240" w:lineRule="auto"/>
              <w:jc w:val="left"/>
            </w:pPr>
            <w:r>
              <w:rPr>
                <w:rFonts w:ascii="Calibri" w:hAnsi="Calibri" w:cs="Arial"/>
                <w:color w:val="262626"/>
                <w:sz w:val="20"/>
                <w:szCs w:val="20"/>
              </w:rPr>
              <w:t xml:space="preserve">GitHub Projects, Git, Obsidian, Conda</w:t>
            </w:r>
          </w:p>
        </w:tc>
        <w:tc>
          <w:tcPr>
            <w:tcW w:w="1000" w:type="dxa"/>
          </w:tcPr>
          <w:p>
            <w:pPr>
              <w:spacing w:after="40" w:before="0" w:line="240" w:lineRule="auto"/>
              <w:jc w:val="left"/>
            </w:pPr>
            <w:r>
              <w:rPr>
                <w:rFonts w:ascii="Calibri" w:hAnsi="Calibri" w:cs="Arial"/>
                <w:color w:val="262626"/>
                <w:sz w:val="20"/>
                <w:szCs w:val="20"/>
              </w:rPr>
              <w:t xml:space="preserve">3 semanas (S1–S3)</w:t>
            </w:r>
          </w:p>
        </w:tc>
        <w:tc>
          <w:tcPr>
            <w:tcW w:w="1000" w:type="dxa"/>
          </w:tcPr>
          <w:p>
            <w:pPr>
              <w:spacing w:after="40" w:before="0" w:line="240" w:lineRule="auto"/>
              <w:jc w:val="left"/>
            </w:pPr>
            <w:r>
              <w:rPr>
                <w:rFonts w:ascii="Calibri" w:hAnsi="Calibri" w:cs="Arial"/>
                <w:color w:val="262626"/>
                <w:sz w:val="20"/>
                <w:szCs w:val="20"/>
              </w:rPr>
              <w:t xml:space="preserve">Andrés Vergara</w:t>
            </w:r>
          </w:p>
        </w:tc>
        <w:tc>
          <w:tcPr>
            <w:tcW w:w="1970" w:type="dxa"/>
          </w:tcPr>
          <w:p>
            <w:pPr>
              <w:spacing w:after="40" w:before="0" w:line="240" w:lineRule="auto"/>
              <w:jc w:val="left"/>
            </w:pPr>
            <w:r>
              <w:rPr>
                <w:rFonts w:ascii="Calibri" w:hAnsi="Calibri" w:cs="Arial"/>
                <w:color w:val="262626"/>
                <w:sz w:val="20"/>
                <w:szCs w:val="20"/>
              </w:rPr>
              <w:t xml:space="preserve">Facilitador: guías de la asignatura y experiencia previa. Obstáculo: requisitos amplios e incorporación tardía (19/08).</w:t>
            </w:r>
          </w:p>
        </w:tc>
        <w:tc>
          <w:tcPr>
            <w:tcW w:w="1300" w:type="dxa"/>
          </w:tcPr>
          <w:p>
            <w:pPr>
              <w:spacing w:after="40" w:before="0" w:line="240" w:lineRule="auto"/>
              <w:jc w:val="left"/>
            </w:pPr>
            <w:r>
              <w:rPr>
                <w:rFonts w:ascii="Calibri" w:hAnsi="Calibri" w:cs="Arial"/>
                <w:b/>
                <w:color w:val="262626"/>
                <w:sz w:val="20"/>
                <w:szCs w:val="20"/>
              </w:rPr>
              <w:t xml:space="preserve">Completado</w:t>
            </w:r>
          </w:p>
        </w:tc>
        <w:tc>
          <w:tcPr>
            <w:tcW w:w="3900" w:type="dxa"/>
          </w:tcPr>
          <w:p>
            <w:pPr>
              <w:spacing w:after="40" w:before="0" w:line="240" w:lineRule="auto"/>
              <w:jc w:val="left"/>
            </w:pPr>
            <w:r>
              <w:rPr>
                <w:rFonts w:ascii="Calibri" w:hAnsi="Calibri" w:cs="Arial"/>
                <w:color w:val="262626"/>
                <w:sz w:val="20"/>
                <w:szCs w:val="20"/>
              </w:rPr>
              <w:t xml:space="preserve">Repositorio creado el 21/08. La bitácora en Obsidian se reemplazó por artefactos en GitHub (ver actividad 7).</w:t>
            </w:r>
          </w:p>
        </w:tc>
      </w:tr>
      <w:tr>
        <w:tc>
          <w:tcPr>
            <w:tcW w:w="1500" w:type="dxa"/>
          </w:tcPr>
          <w:p>
            <w:pPr>
              <w:spacing w:after="40" w:before="0" w:line="240" w:lineRule="auto"/>
              <w:jc w:val="left"/>
            </w:pPr>
            <w:r>
              <w:rPr>
                <w:rFonts w:ascii="Calibri" w:hAnsi="Calibri" w:cs="Arial"/>
                <w:color w:val="262626"/>
                <w:sz w:val="20"/>
                <w:szCs w:val="20"/>
              </w:rPr>
              <w:t xml:space="preserve">Desarrollar soluciones de software; Construir modelos de datos</w:t>
            </w:r>
          </w:p>
        </w:tc>
        <w:tc>
          <w:tcPr>
            <w:tcW w:w="2400" w:type="dxa"/>
          </w:tcPr>
          <w:p>
            <w:pPr>
              <w:spacing w:after="40" w:before="0" w:line="240" w:lineRule="auto"/>
              <w:jc w:val="left"/>
            </w:pPr>
            <w:r>
              <w:rPr>
                <w:rFonts w:ascii="Calibri" w:hAnsi="Calibri" w:cs="Arial"/>
                <w:b/>
                <w:color w:val="262626"/>
                <w:sz w:val="20"/>
                <w:szCs w:val="20"/>
              </w:rPr>
              <w:t xml:space="preserve">Sprint 2: Diseño de arquitectura y datos.</w:t>
            </w:r>
            <w:r>
              <w:rPr>
                <w:rFonts w:ascii="Calibri" w:hAnsi="Calibri" w:cs="Arial"/>
                <w:color w:val="262626"/>
                <w:sz w:val="20"/>
                <w:szCs w:val="20"/>
              </w:rPr>
              <w:t xml:space="preserve"> Arquitectura Edge-Cloud, flujo crítico, modelo entidad-relación, riesgos, Guía 1.5 y presentación.</w:t>
            </w:r>
          </w:p>
        </w:tc>
        <w:tc>
          <w:tcPr>
            <w:tcW w:w="1500" w:type="dxa"/>
          </w:tcPr>
          <w:p>
            <w:pPr>
              <w:spacing w:after="40" w:before="0" w:line="240" w:lineRule="auto"/>
              <w:jc w:val="left"/>
            </w:pPr>
            <w:r>
              <w:rPr>
                <w:rFonts w:ascii="Calibri" w:hAnsi="Calibri" w:cs="Arial"/>
                <w:color w:val="262626"/>
                <w:sz w:val="20"/>
                <w:szCs w:val="20"/>
              </w:rPr>
              <w:t xml:space="preserve">draw.io, VS Code, PowerPoint</w:t>
            </w:r>
          </w:p>
        </w:tc>
        <w:tc>
          <w:tcPr>
            <w:tcW w:w="1000" w:type="dxa"/>
          </w:tcPr>
          <w:p>
            <w:pPr>
              <w:spacing w:after="40" w:before="0" w:line="240" w:lineRule="auto"/>
              <w:jc w:val="left"/>
            </w:pPr>
            <w:r>
              <w:rPr>
                <w:rFonts w:ascii="Calibri" w:hAnsi="Calibri" w:cs="Arial"/>
                <w:color w:val="262626"/>
                <w:sz w:val="20"/>
                <w:szCs w:val="20"/>
              </w:rPr>
              <w:t xml:space="preserve">3 semanas (S4–S6)</w:t>
            </w:r>
          </w:p>
        </w:tc>
        <w:tc>
          <w:tcPr>
            <w:tcW w:w="1000" w:type="dxa"/>
          </w:tcPr>
          <w:p>
            <w:pPr>
              <w:spacing w:after="40" w:before="0" w:line="240" w:lineRule="auto"/>
              <w:jc w:val="left"/>
            </w:pPr>
            <w:r>
              <w:rPr>
                <w:rFonts w:ascii="Calibri" w:hAnsi="Calibri" w:cs="Arial"/>
                <w:color w:val="262626"/>
                <w:sz w:val="20"/>
                <w:szCs w:val="20"/>
              </w:rPr>
              <w:t xml:space="preserve">Andrés Vergara</w:t>
            </w:r>
          </w:p>
        </w:tc>
        <w:tc>
          <w:tcPr>
            <w:tcW w:w="1970" w:type="dxa"/>
          </w:tcPr>
          <w:p>
            <w:pPr>
              <w:spacing w:after="40" w:before="0" w:line="240" w:lineRule="auto"/>
              <w:jc w:val="left"/>
            </w:pPr>
            <w:r>
              <w:rPr>
                <w:rFonts w:ascii="Calibri" w:hAnsi="Calibri" w:cs="Arial"/>
                <w:color w:val="262626"/>
                <w:sz w:val="20"/>
                <w:szCs w:val="20"/>
              </w:rPr>
              <w:t xml:space="preserve">Facilitador: retroalimentación del profesor guía. Obstáculo: cambios de enfoque.</w:t>
            </w:r>
          </w:p>
        </w:tc>
        <w:tc>
          <w:tcPr>
            <w:tcW w:w="1300" w:type="dxa"/>
          </w:tcPr>
          <w:p>
            <w:pPr>
              <w:spacing w:after="40" w:before="0" w:line="240" w:lineRule="auto"/>
              <w:jc w:val="left"/>
            </w:pPr>
            <w:r>
              <w:rPr>
                <w:rFonts w:ascii="Calibri" w:hAnsi="Calibri" w:cs="Arial"/>
                <w:b/>
                <w:color w:val="262626"/>
                <w:sz w:val="20"/>
                <w:szCs w:val="20"/>
              </w:rPr>
              <w:t xml:space="preserve">Completado</w:t>
            </w:r>
          </w:p>
        </w:tc>
        <w:tc>
          <w:tcPr>
            <w:tcW w:w="3900" w:type="dxa"/>
          </w:tcPr>
          <w:p>
            <w:pPr>
              <w:spacing w:after="40" w:before="0" w:line="240" w:lineRule="auto"/>
              <w:jc w:val="left"/>
            </w:pPr>
            <w:r>
              <w:rPr>
                <w:rFonts w:ascii="Calibri" w:hAnsi="Calibri" w:cs="Arial"/>
                <w:color w:val="262626"/>
                <w:sz w:val="20"/>
                <w:szCs w:val="20"/>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40" w:lineRule="auto"/>
              <w:jc w:val="left"/>
            </w:pPr>
            <w:r>
              <w:rPr>
                <w:rFonts w:ascii="Calibri" w:hAnsi="Calibri" w:cs="Arial"/>
                <w:color w:val="262626"/>
                <w:sz w:val="20"/>
                <w:szCs w:val="20"/>
              </w:rPr>
              <w:t xml:space="preserve">Desarrollar soluciones de software</w:t>
            </w:r>
          </w:p>
        </w:tc>
        <w:tc>
          <w:tcPr>
            <w:tcW w:w="2400" w:type="dxa"/>
          </w:tcPr>
          <w:p>
            <w:pPr>
              <w:spacing w:after="40" w:before="0" w:line="240" w:lineRule="auto"/>
              <w:jc w:val="left"/>
            </w:pPr>
            <w:r>
              <w:rPr>
                <w:rFonts w:ascii="Calibri" w:hAnsi="Calibri" w:cs="Arial"/>
                <w:b/>
                <w:color w:val="262626"/>
                <w:sz w:val="20"/>
                <w:szCs w:val="20"/>
              </w:rPr>
              <w:t xml:space="preserve">Sprint 3: Captura y detección (OE1).</w:t>
            </w:r>
            <w:r>
              <w:rPr>
                <w:rFonts w:ascii="Calibri" w:hAnsi="Calibri" w:cs="Arial"/>
                <w:color w:val="262626"/>
                <w:sz w:val="20"/>
                <w:szCs w:val="20"/>
              </w:rPr>
              <w:t xml:space="preserve"> Simulador de 8 sensores, reglas de detección, persistencia SQLite3 y API base.</w:t>
            </w:r>
          </w:p>
        </w:tc>
        <w:tc>
          <w:tcPr>
            <w:tcW w:w="1500" w:type="dxa"/>
          </w:tcPr>
          <w:p>
            <w:pPr>
              <w:spacing w:after="40" w:before="0" w:line="240" w:lineRule="auto"/>
              <w:jc w:val="left"/>
            </w:pPr>
            <w:r>
              <w:rPr>
                <w:rFonts w:ascii="Calibri" w:hAnsi="Calibri" w:cs="Arial"/>
                <w:color w:val="262626"/>
                <w:sz w:val="20"/>
                <w:szCs w:val="20"/>
              </w:rPr>
              <w:t xml:space="preserve">Python, FastAPI, SQLite3</w:t>
            </w:r>
          </w:p>
        </w:tc>
        <w:tc>
          <w:tcPr>
            <w:tcW w:w="1000" w:type="dxa"/>
          </w:tcPr>
          <w:p>
            <w:pPr>
              <w:spacing w:after="40" w:before="0" w:line="240" w:lineRule="auto"/>
              <w:jc w:val="left"/>
            </w:pPr>
            <w:r>
              <w:rPr>
                <w:rFonts w:ascii="Calibri" w:hAnsi="Calibri" w:cs="Arial"/>
                <w:color w:val="262626"/>
                <w:sz w:val="20"/>
                <w:szCs w:val="20"/>
              </w:rPr>
              <w:t xml:space="preserve">3 semanas (S7–S9)</w:t>
            </w:r>
          </w:p>
        </w:tc>
        <w:tc>
          <w:tcPr>
            <w:tcW w:w="1000" w:type="dxa"/>
          </w:tcPr>
          <w:p>
            <w:pPr>
              <w:spacing w:after="40" w:before="0" w:line="240" w:lineRule="auto"/>
              <w:jc w:val="left"/>
            </w:pPr>
            <w:r>
              <w:rPr>
                <w:rFonts w:ascii="Calibri" w:hAnsi="Calibri" w:cs="Arial"/>
                <w:color w:val="262626"/>
                <w:sz w:val="20"/>
                <w:szCs w:val="20"/>
              </w:rPr>
              <w:t xml:space="preserve">Andrés Vergara</w:t>
            </w:r>
          </w:p>
        </w:tc>
        <w:tc>
          <w:tcPr>
            <w:tcW w:w="1970" w:type="dxa"/>
          </w:tcPr>
          <w:p>
            <w:pPr>
              <w:spacing w:after="40" w:before="0" w:line="240" w:lineRule="auto"/>
              <w:jc w:val="left"/>
            </w:pPr>
            <w:r>
              <w:rPr>
                <w:rFonts w:ascii="Calibri" w:hAnsi="Calibri" w:cs="Arial"/>
                <w:color w:val="262626"/>
                <w:sz w:val="20"/>
                <w:szCs w:val="20"/>
              </w:rPr>
              <w:t xml:space="preserve">Facilitador: documentación de FastAPI (Ramírez, 2023) y SQLite (Hipp, 2024). Obstáculo: sin hardware físico (sensores simulados).</w:t>
            </w:r>
          </w:p>
        </w:tc>
        <w:tc>
          <w:tcPr>
            <w:tcW w:w="1300" w:type="dxa"/>
          </w:tcPr>
          <w:p>
            <w:pPr>
              <w:spacing w:after="40" w:before="0" w:line="240" w:lineRule="auto"/>
              <w:jc w:val="left"/>
            </w:pPr>
            <w:r>
              <w:rPr>
                <w:rFonts w:ascii="Calibri" w:hAnsi="Calibri" w:cs="Arial"/>
                <w:b/>
                <w:color w:val="262626"/>
                <w:sz w:val="20"/>
                <w:szCs w:val="20"/>
              </w:rPr>
              <w:t xml:space="preserve">Completado</w:t>
            </w:r>
            <w:r>
              <w:rPr>
                <w:rFonts w:ascii="Calibri" w:hAnsi="Calibri" w:cs="Arial"/>
                <w:color w:val="262626"/>
                <w:sz w:val="20"/>
                <w:szCs w:val="20"/>
              </w:rPr>
              <w:t xml:space="preserve"> (adelantado)</w:t>
            </w:r>
          </w:p>
        </w:tc>
        <w:tc>
          <w:tcPr>
            <w:tcW w:w="3900" w:type="dxa"/>
          </w:tcPr>
          <w:p>
            <w:pPr>
              <w:spacing w:after="40" w:before="0" w:line="240" w:lineRule="auto"/>
              <w:jc w:val="left"/>
            </w:pPr>
            <w:r>
              <w:rPr>
                <w:rFonts w:ascii="Calibri" w:hAnsi="Calibri" w:cs="Arial"/>
                <w:color w:val="262626"/>
                <w:sz w:val="20"/>
                <w:szCs w:val="20"/>
              </w:rPr>
              <w:t xml:space="preserve">Implementación terminada durante el Sprint 2. Simulador configurable por variable de entorno para enviar datos a Render o AWS (commit 1c8c203). Prueba de continuidad sin conexión ejecutada el 03/10 (PR-03, 10/10). Regla de la puerta principal trasladada al backend (PU-04, 05/10).</w:t>
            </w:r>
          </w:p>
        </w:tc>
      </w:tr>
      <w:tr>
        <w:tc>
          <w:tcPr>
            <w:tcW w:w="1500" w:type="dxa"/>
          </w:tcPr>
          <w:p>
            <w:pPr>
              <w:spacing w:after="40" w:before="0" w:line="240" w:lineRule="auto"/>
              <w:jc w:val="left"/>
            </w:pPr>
            <w:r>
              <w:rPr>
                <w:rFonts w:ascii="Calibri" w:hAnsi="Calibri" w:cs="Arial"/>
                <w:color w:val="262626"/>
                <w:sz w:val="20"/>
                <w:szCs w:val="20"/>
              </w:rPr>
              <w:t xml:space="preserve">Construir modelos de datos; Desarrollar soluciones de software</w:t>
            </w:r>
          </w:p>
        </w:tc>
        <w:tc>
          <w:tcPr>
            <w:tcW w:w="2400" w:type="dxa"/>
          </w:tcPr>
          <w:p>
            <w:pPr>
              <w:spacing w:after="40" w:before="0" w:line="240" w:lineRule="auto"/>
              <w:jc w:val="left"/>
            </w:pPr>
            <w:r>
              <w:rPr>
                <w:rFonts w:ascii="Calibri" w:hAnsi="Calibri" w:cs="Arial"/>
                <w:b/>
                <w:color w:val="262626"/>
                <w:sz w:val="20"/>
                <w:szCs w:val="20"/>
              </w:rPr>
              <w:t xml:space="preserve">Sprint 4: Nube, interoperabilidad y panel (OE2 y OE3).</w:t>
            </w:r>
            <w:r>
              <w:rPr>
                <w:rFonts w:ascii="Calibri" w:hAnsi="Calibri" w:cs="Arial"/>
                <w:color w:val="262626"/>
                <w:sz w:val="20"/>
                <w:szCs w:val="20"/>
              </w:rPr>
              <w:t xml:space="preserve"> Supabase, HL7 FHIR, seudonimización, RLS, panel React, WebSocket, ntfy y despliegue.</w:t>
            </w:r>
          </w:p>
        </w:tc>
        <w:tc>
          <w:tcPr>
            <w:tcW w:w="1500" w:type="dxa"/>
          </w:tcPr>
          <w:p>
            <w:pPr>
              <w:spacing w:after="40" w:before="0" w:line="240" w:lineRule="auto"/>
              <w:jc w:val="left"/>
            </w:pPr>
            <w:r>
              <w:rPr>
                <w:rFonts w:ascii="Calibri" w:hAnsi="Calibri" w:cs="Arial"/>
                <w:color w:val="262626"/>
                <w:sz w:val="20"/>
                <w:szCs w:val="20"/>
              </w:rPr>
              <w:t xml:space="preserve">Supabase, Render, Vercel, React, ntfy, Docker, AWS Academy</w:t>
            </w:r>
          </w:p>
        </w:tc>
        <w:tc>
          <w:tcPr>
            <w:tcW w:w="1000" w:type="dxa"/>
          </w:tcPr>
          <w:p>
            <w:pPr>
              <w:spacing w:after="40" w:before="0" w:line="240" w:lineRule="auto"/>
              <w:jc w:val="left"/>
            </w:pPr>
            <w:r>
              <w:rPr>
                <w:rFonts w:ascii="Calibri" w:hAnsi="Calibri" w:cs="Arial"/>
                <w:color w:val="262626"/>
                <w:sz w:val="20"/>
                <w:szCs w:val="20"/>
              </w:rPr>
              <w:t xml:space="preserve">3 semanas (S10–S12)</w:t>
            </w:r>
          </w:p>
        </w:tc>
        <w:tc>
          <w:tcPr>
            <w:tcW w:w="1000" w:type="dxa"/>
          </w:tcPr>
          <w:p>
            <w:pPr>
              <w:spacing w:after="40" w:before="0" w:line="240" w:lineRule="auto"/>
              <w:jc w:val="left"/>
            </w:pPr>
            <w:r>
              <w:rPr>
                <w:rFonts w:ascii="Calibri" w:hAnsi="Calibri" w:cs="Arial"/>
                <w:color w:val="262626"/>
                <w:sz w:val="20"/>
                <w:szCs w:val="20"/>
              </w:rPr>
              <w:t xml:space="preserve">Andrés Vergara</w:t>
            </w:r>
          </w:p>
        </w:tc>
        <w:tc>
          <w:tcPr>
            <w:tcW w:w="1970" w:type="dxa"/>
          </w:tcPr>
          <w:p>
            <w:pPr>
              <w:spacing w:after="40" w:before="0" w:line="240" w:lineRule="auto"/>
              <w:jc w:val="left"/>
            </w:pPr>
            <w:r>
              <w:rPr>
                <w:rFonts w:ascii="Calibri" w:hAnsi="Calibri" w:cs="Arial"/>
                <w:color w:val="262626"/>
                <w:sz w:val="20"/>
                <w:szCs w:val="20"/>
              </w:rPr>
              <w:t xml:space="preserve">Facilitador: planes gratuitos y documentación abierta. Obstáculo: restricciones de red (puerto 5432 bloqueado).</w:t>
            </w:r>
          </w:p>
        </w:tc>
        <w:tc>
          <w:tcPr>
            <w:tcW w:w="1300" w:type="dxa"/>
          </w:tcPr>
          <w:p>
            <w:pPr>
              <w:spacing w:after="40" w:before="0" w:line="240" w:lineRule="auto"/>
              <w:jc w:val="left"/>
            </w:pPr>
            <w:r>
              <w:rPr>
                <w:rFonts w:ascii="Calibri" w:hAnsi="Calibri" w:cs="Arial"/>
                <w:b/>
                <w:color w:val="262626"/>
                <w:sz w:val="20"/>
                <w:szCs w:val="20"/>
              </w:rPr>
              <w:t xml:space="preserve">En curso</w:t>
            </w:r>
            <w:r>
              <w:rPr>
                <w:rFonts w:ascii="Calibri" w:hAnsi="Calibri" w:cs="Arial"/>
                <w:color w:val="262626"/>
                <w:sz w:val="20"/>
                <w:szCs w:val="20"/>
              </w:rPr>
              <w:t xml:space="preserve"> (adelantado)</w:t>
            </w:r>
          </w:p>
        </w:tc>
        <w:tc>
          <w:tcPr>
            <w:tcW w:w="3900" w:type="dxa"/>
          </w:tcPr>
          <w:p>
            <w:pPr>
              <w:spacing w:after="40" w:before="0" w:line="240" w:lineRule="auto"/>
              <w:jc w:val="left"/>
            </w:pPr>
            <w:r>
              <w:rPr>
                <w:rFonts w:ascii="Calibri" w:hAnsi="Calibri" w:cs="Arial"/>
                <w:color w:val="262626"/>
                <w:sz w:val="20"/>
                <w:szCs w:val="20"/>
              </w:rPr>
              <w:t xml:space="preserve">Ejecutado en gran parte en el Sprint 3. Neon → Supabase (Session Pooler IPv4, puerto 6543). HL7 FHIR R4: Observation y Bundle (PI-04) y Patient seudonimizado (PI-05, 05/10). Envío por WebSocket antes que ntfy (−17 % de latencia). Clave de API para sensores y sesión del cuidador con Supabase Auth (05/10). Panel con componentes simulados y alertas atendidas. Oracle Cloud Santiago postergado por falta de capacidad gratuita en la región.</w:t>
            </w:r>
          </w:p>
        </w:tc>
      </w:tr>
      <w:tr>
        <w:tc>
          <w:tcPr>
            <w:tcW w:w="1500" w:type="dxa"/>
          </w:tcPr>
          <w:p>
            <w:pPr>
              <w:spacing w:after="40" w:before="0" w:line="240" w:lineRule="auto"/>
              <w:jc w:val="left"/>
            </w:pPr>
            <w:r>
              <w:rPr>
                <w:rFonts w:ascii="Calibri" w:hAnsi="Calibri" w:cs="Arial"/>
                <w:color w:val="262626"/>
                <w:sz w:val="20"/>
                <w:szCs w:val="20"/>
              </w:rPr>
              <w:t xml:space="preserve">Realizar pruebas de certificación</w:t>
            </w:r>
          </w:p>
        </w:tc>
        <w:tc>
          <w:tcPr>
            <w:tcW w:w="2400" w:type="dxa"/>
          </w:tcPr>
          <w:p>
            <w:pPr>
              <w:spacing w:after="40" w:before="0" w:line="240" w:lineRule="auto"/>
              <w:jc w:val="left"/>
            </w:pPr>
            <w:r>
              <w:rPr>
                <w:rFonts w:ascii="Calibri" w:hAnsi="Calibri" w:cs="Arial"/>
                <w:b/>
                <w:color w:val="262626"/>
                <w:sz w:val="20"/>
                <w:szCs w:val="20"/>
              </w:rPr>
              <w:t xml:space="preserve">Sprint 5: Certificación técnica.</w:t>
            </w:r>
            <w:r>
              <w:rPr>
                <w:rFonts w:ascii="Calibri" w:hAnsi="Calibri" w:cs="Arial"/>
                <w:color w:val="262626"/>
                <w:sz w:val="20"/>
                <w:szCs w:val="20"/>
              </w:rPr>
              <w:t xml:space="preserve"> Pruebas de latencia y carga, validación HL7 FHIR y auditoría de datos.</w:t>
            </w:r>
          </w:p>
        </w:tc>
        <w:tc>
          <w:tcPr>
            <w:tcW w:w="1500" w:type="dxa"/>
          </w:tcPr>
          <w:p>
            <w:pPr>
              <w:spacing w:after="40" w:before="0" w:line="240" w:lineRule="auto"/>
              <w:jc w:val="left"/>
            </w:pPr>
            <w:r>
              <w:rPr>
                <w:rFonts w:ascii="Calibri" w:hAnsi="Calibri" w:cs="Arial"/>
                <w:color w:val="262626"/>
                <w:sz w:val="20"/>
                <w:szCs w:val="20"/>
              </w:rPr>
              <w:t xml:space="preserve">Postman, Locust, pytest, validador HL7 FHIR</w:t>
            </w:r>
          </w:p>
        </w:tc>
        <w:tc>
          <w:tcPr>
            <w:tcW w:w="1000" w:type="dxa"/>
          </w:tcPr>
          <w:p>
            <w:pPr>
              <w:spacing w:after="40" w:before="0" w:line="240" w:lineRule="auto"/>
              <w:jc w:val="left"/>
            </w:pPr>
            <w:r>
              <w:rPr>
                <w:rFonts w:ascii="Calibri" w:hAnsi="Calibri" w:cs="Arial"/>
                <w:color w:val="262626"/>
                <w:sz w:val="20"/>
                <w:szCs w:val="20"/>
              </w:rPr>
              <w:t xml:space="preserve">3 semanas (S13–S15)</w:t>
            </w:r>
          </w:p>
        </w:tc>
        <w:tc>
          <w:tcPr>
            <w:tcW w:w="1000" w:type="dxa"/>
          </w:tcPr>
          <w:p>
            <w:pPr>
              <w:spacing w:after="40" w:before="0" w:line="240" w:lineRule="auto"/>
              <w:jc w:val="left"/>
            </w:pPr>
            <w:r>
              <w:rPr>
                <w:rFonts w:ascii="Calibri" w:hAnsi="Calibri" w:cs="Arial"/>
                <w:color w:val="262626"/>
                <w:sz w:val="20"/>
                <w:szCs w:val="20"/>
              </w:rPr>
              <w:t xml:space="preserve">Andrés Vergara</w:t>
            </w:r>
          </w:p>
        </w:tc>
        <w:tc>
          <w:tcPr>
            <w:tcW w:w="1970" w:type="dxa"/>
          </w:tcPr>
          <w:p>
            <w:pPr>
              <w:spacing w:after="40" w:before="0" w:line="240" w:lineRule="auto"/>
              <w:jc w:val="left"/>
            </w:pPr>
            <w:r>
              <w:rPr>
                <w:rFonts w:ascii="Calibri" w:hAnsi="Calibri" w:cs="Arial"/>
                <w:color w:val="262626"/>
                <w:sz w:val="20"/>
                <w:szCs w:val="20"/>
              </w:rPr>
              <w:t xml:space="preserve">Facilitador: herramientas de prueba gratuitas. Obstáculo: falsos positivos en los umbrales.</w:t>
            </w:r>
          </w:p>
        </w:tc>
        <w:tc>
          <w:tcPr>
            <w:tcW w:w="1300" w:type="dxa"/>
          </w:tcPr>
          <w:p>
            <w:pPr>
              <w:spacing w:after="40" w:before="0" w:line="240" w:lineRule="auto"/>
              <w:jc w:val="left"/>
            </w:pPr>
            <w:r>
              <w:rPr>
                <w:rFonts w:ascii="Calibri" w:hAnsi="Calibri" w:cs="Arial"/>
                <w:b/>
                <w:color w:val="262626"/>
                <w:sz w:val="20"/>
                <w:szCs w:val="20"/>
              </w:rPr>
              <w:t xml:space="preserve">En curso</w:t>
            </w:r>
            <w:r>
              <w:rPr>
                <w:rFonts w:ascii="Calibri" w:hAnsi="Calibri" w:cs="Arial"/>
                <w:color w:val="262626"/>
                <w:sz w:val="20"/>
                <w:szCs w:val="20"/>
              </w:rPr>
              <w:t xml:space="preserve"> (adelantado)</w:t>
            </w:r>
          </w:p>
        </w:tc>
        <w:tc>
          <w:tcPr>
            <w:tcW w:w="3900" w:type="dxa"/>
          </w:tcPr>
          <w:p>
            <w:pPr>
              <w:spacing w:after="40" w:before="0" w:line="240" w:lineRule="auto"/>
              <w:jc w:val="left"/>
            </w:pPr>
            <w:r>
              <w:rPr>
                <w:rFonts w:ascii="Calibri" w:hAnsi="Calibri" w:cs="Arial"/>
                <w:color w:val="262626"/>
                <w:sz w:val="20"/>
                <w:szCs w:val="20"/>
              </w:rPr>
              <w:t xml:space="preserve">Ejecutadas con resultado satisfactorio: PU-03, PI-02, PI-03 y PI-04. PR-01: 30/30 alertas por WebSocket; meta &lt; 1 s cumplida en AWS EC2 (216 ms) y no en Render (1.577 ms). Validación FHIR con la librería fhir.resources. Agregadas entre el 03 y el 05/10: PR-02 (ntfy, 30/30), PR-03 (sin conexión, 10/10), PU-04 (10/10), PI-03b (RLS en sensores), PI-05 (8/8), PS-01 y PS-01b (3/3 en producción). 06/10: PU-05, PU-06, PI-06 y PI-07. Pendiente: PR-04 (carga con Locust).</w:t>
            </w:r>
          </w:p>
        </w:tc>
      </w:tr>
      <w:tr>
        <w:tc>
          <w:tcPr>
            <w:tcW w:w="1500" w:type="dxa"/>
          </w:tcPr>
          <w:p>
            <w:pPr>
              <w:spacing w:after="40" w:before="0" w:line="240" w:lineRule="auto"/>
              <w:jc w:val="left"/>
            </w:pPr>
            <w:r>
              <w:rPr>
                <w:rFonts w:ascii="Calibri" w:hAnsi="Calibri" w:cs="Arial"/>
                <w:color w:val="262626"/>
                <w:sz w:val="20"/>
                <w:szCs w:val="20"/>
              </w:rPr>
              <w:t xml:space="preserve">Realizar pruebas de certificación; Gestionar proyectos informáticos</w:t>
            </w:r>
          </w:p>
        </w:tc>
        <w:tc>
          <w:tcPr>
            <w:tcW w:w="2400" w:type="dxa"/>
          </w:tcPr>
          <w:p>
            <w:pPr>
              <w:spacing w:after="40" w:before="0" w:line="240" w:lineRule="auto"/>
              <w:jc w:val="left"/>
            </w:pPr>
            <w:r>
              <w:rPr>
                <w:rFonts w:ascii="Calibri" w:hAnsi="Calibri" w:cs="Arial"/>
                <w:b/>
                <w:color w:val="262626"/>
                <w:sz w:val="20"/>
                <w:szCs w:val="20"/>
              </w:rPr>
              <w:t xml:space="preserve">Sprint 6: Validación con usuarios y cierre.</w:t>
            </w:r>
            <w:r>
              <w:rPr>
                <w:rFonts w:ascii="Calibri" w:hAnsi="Calibri" w:cs="Arial"/>
                <w:color w:val="262626"/>
                <w:sz w:val="20"/>
                <w:szCs w:val="20"/>
              </w:rPr>
              <w:t xml:space="preserve"> Escala SUS, ajustes, informe final y ensayo de defensa.</w:t>
            </w:r>
          </w:p>
        </w:tc>
        <w:tc>
          <w:tcPr>
            <w:tcW w:w="1500" w:type="dxa"/>
          </w:tcPr>
          <w:p>
            <w:pPr>
              <w:spacing w:after="40" w:before="0" w:line="240" w:lineRule="auto"/>
              <w:jc w:val="left"/>
            </w:pPr>
            <w:r>
              <w:rPr>
                <w:rFonts w:ascii="Calibri" w:hAnsi="Calibri" w:cs="Arial"/>
                <w:color w:val="262626"/>
                <w:sz w:val="20"/>
                <w:szCs w:val="20"/>
              </w:rPr>
              <w:t xml:space="preserve">Google Forms, Word, PowerPoint</w:t>
            </w:r>
          </w:p>
        </w:tc>
        <w:tc>
          <w:tcPr>
            <w:tcW w:w="1000" w:type="dxa"/>
          </w:tcPr>
          <w:p>
            <w:pPr>
              <w:spacing w:after="40" w:before="0" w:line="240" w:lineRule="auto"/>
              <w:jc w:val="left"/>
            </w:pPr>
            <w:r>
              <w:rPr>
                <w:rFonts w:ascii="Calibri" w:hAnsi="Calibri" w:cs="Arial"/>
                <w:color w:val="262626"/>
                <w:sz w:val="20"/>
                <w:szCs w:val="20"/>
              </w:rPr>
              <w:t xml:space="preserve">3 semanas (S16–S18)</w:t>
            </w:r>
          </w:p>
        </w:tc>
        <w:tc>
          <w:tcPr>
            <w:tcW w:w="1000" w:type="dxa"/>
          </w:tcPr>
          <w:p>
            <w:pPr>
              <w:spacing w:after="40" w:before="0" w:line="240" w:lineRule="auto"/>
              <w:jc w:val="left"/>
            </w:pPr>
            <w:r>
              <w:rPr>
                <w:rFonts w:ascii="Calibri" w:hAnsi="Calibri" w:cs="Arial"/>
                <w:color w:val="262626"/>
                <w:sz w:val="20"/>
                <w:szCs w:val="20"/>
              </w:rPr>
              <w:t xml:space="preserve">Andrés Vergara</w:t>
            </w:r>
          </w:p>
        </w:tc>
        <w:tc>
          <w:tcPr>
            <w:tcW w:w="1970" w:type="dxa"/>
          </w:tcPr>
          <w:p>
            <w:pPr>
              <w:spacing w:after="40" w:before="0" w:line="240" w:lineRule="auto"/>
              <w:jc w:val="left"/>
            </w:pPr>
            <w:r>
              <w:rPr>
                <w:rFonts w:ascii="Calibri" w:hAnsi="Calibri" w:cs="Arial"/>
                <w:color w:val="262626"/>
                <w:sz w:val="20"/>
                <w:szCs w:val="20"/>
              </w:rPr>
              <w:t xml:space="preserve">Facilitador: red de contactos con cuidadores. Obstáculo: baja participación.</w:t>
            </w:r>
          </w:p>
        </w:tc>
        <w:tc>
          <w:tcPr>
            <w:tcW w:w="1300" w:type="dxa"/>
          </w:tcPr>
          <w:p>
            <w:pPr>
              <w:spacing w:after="40" w:before="0" w:line="240" w:lineRule="auto"/>
              <w:jc w:val="left"/>
            </w:pPr>
            <w:r>
              <w:rPr>
                <w:rFonts w:ascii="Calibri" w:hAnsi="Calibri" w:cs="Arial"/>
                <w:b/>
                <w:color w:val="262626"/>
                <w:sz w:val="20"/>
                <w:szCs w:val="20"/>
              </w:rPr>
              <w:t xml:space="preserve">No iniciado</w:t>
            </w:r>
          </w:p>
        </w:tc>
        <w:tc>
          <w:tcPr>
            <w:tcW w:w="3900" w:type="dxa"/>
          </w:tcPr>
          <w:p>
            <w:pPr>
              <w:spacing w:after="40" w:before="0" w:line="240" w:lineRule="auto"/>
              <w:jc w:val="left"/>
            </w:pPr>
            <w:r>
              <w:rPr>
                <w:rFonts w:ascii="Calibri" w:hAnsi="Calibri" w:cs="Arial"/>
                <w:color w:val="262626"/>
                <w:sz w:val="20"/>
                <w:szCs w:val="20"/>
              </w:rPr>
              <w:t xml:space="preserve">Sin ajustes: se mantiene la Escala SUS con 5 a 10 cuidadores y la convocatoria desde la semana 13.</w:t>
            </w:r>
          </w:p>
        </w:tc>
      </w:tr>
      <w:tr>
        <w:tc>
          <w:tcPr>
            <w:tcW w:w="1500" w:type="dxa"/>
          </w:tcPr>
          <w:p>
            <w:pPr>
              <w:spacing w:after="40" w:before="0" w:line="240" w:lineRule="auto"/>
              <w:jc w:val="left"/>
            </w:pPr>
            <w:r>
              <w:rPr>
                <w:rFonts w:ascii="Calibri" w:hAnsi="Calibri" w:cs="Arial"/>
                <w:color w:val="262626"/>
                <w:sz w:val="20"/>
                <w:szCs w:val="20"/>
              </w:rPr>
              <w:t xml:space="preserve">Gestionar proyectos informáticos</w:t>
            </w:r>
          </w:p>
        </w:tc>
        <w:tc>
          <w:tcPr>
            <w:tcW w:w="2400" w:type="dxa"/>
          </w:tcPr>
          <w:p>
            <w:pPr>
              <w:spacing w:after="40" w:before="0" w:line="240" w:lineRule="auto"/>
              <w:jc w:val="left"/>
            </w:pPr>
            <w:r>
              <w:rPr>
                <w:rFonts w:ascii="Calibri" w:hAnsi="Calibri" w:cs="Arial"/>
                <w:b/>
                <w:color w:val="262626"/>
                <w:sz w:val="20"/>
                <w:szCs w:val="20"/>
              </w:rPr>
              <w:t xml:space="preserve">Transversal: documentación y seguimiento.</w:t>
            </w:r>
            <w:r>
              <w:rPr>
                <w:rFonts w:ascii="Calibri" w:hAnsi="Calibri" w:cs="Arial"/>
                <w:color w:val="262626"/>
                <w:sz w:val="20"/>
                <w:szCs w:val="20"/>
              </w:rPr>
              <w:t xml:space="preserve"> Bitácora semanal, actualización del backlog y commits.</w:t>
            </w:r>
          </w:p>
        </w:tc>
        <w:tc>
          <w:tcPr>
            <w:tcW w:w="1500" w:type="dxa"/>
          </w:tcPr>
          <w:p>
            <w:pPr>
              <w:spacing w:after="40" w:before="0" w:line="240" w:lineRule="auto"/>
              <w:jc w:val="left"/>
            </w:pPr>
            <w:r>
              <w:rPr>
                <w:rFonts w:ascii="Calibri" w:hAnsi="Calibri" w:cs="Arial"/>
                <w:color w:val="262626"/>
                <w:sz w:val="20"/>
                <w:szCs w:val="20"/>
              </w:rPr>
              <w:t xml:space="preserve">Obsidian, GitHub</w:t>
            </w:r>
          </w:p>
        </w:tc>
        <w:tc>
          <w:tcPr>
            <w:tcW w:w="1000" w:type="dxa"/>
          </w:tcPr>
          <w:p>
            <w:pPr>
              <w:spacing w:after="40" w:before="0" w:line="240" w:lineRule="auto"/>
              <w:jc w:val="left"/>
            </w:pPr>
            <w:r>
              <w:rPr>
                <w:rFonts w:ascii="Calibri" w:hAnsi="Calibri" w:cs="Arial"/>
                <w:color w:val="262626"/>
                <w:sz w:val="20"/>
                <w:szCs w:val="20"/>
              </w:rPr>
              <w:t xml:space="preserve">18 semanas</w:t>
            </w:r>
          </w:p>
        </w:tc>
        <w:tc>
          <w:tcPr>
            <w:tcW w:w="1000" w:type="dxa"/>
          </w:tcPr>
          <w:p>
            <w:pPr>
              <w:spacing w:after="40" w:before="0" w:line="240" w:lineRule="auto"/>
              <w:jc w:val="left"/>
            </w:pPr>
            <w:r>
              <w:rPr>
                <w:rFonts w:ascii="Calibri" w:hAnsi="Calibri" w:cs="Arial"/>
                <w:color w:val="262626"/>
                <w:sz w:val="20"/>
                <w:szCs w:val="20"/>
              </w:rPr>
              <w:t xml:space="preserve">Andrés Vergara</w:t>
            </w:r>
          </w:p>
        </w:tc>
        <w:tc>
          <w:tcPr>
            <w:tcW w:w="1970" w:type="dxa"/>
          </w:tcPr>
          <w:p>
            <w:pPr>
              <w:spacing w:after="40" w:before="0" w:line="240" w:lineRule="auto"/>
              <w:jc w:val="left"/>
            </w:pPr>
            <w:r>
              <w:rPr>
                <w:rFonts w:ascii="Calibri" w:hAnsi="Calibri" w:cs="Arial"/>
                <w:color w:val="262626"/>
                <w:sz w:val="20"/>
                <w:szCs w:val="20"/>
              </w:rPr>
              <w:t xml:space="preserve">Facilitador: registro continuo del avance. Obstáculo: carga académica y laboral.</w:t>
            </w:r>
          </w:p>
        </w:tc>
        <w:tc>
          <w:tcPr>
            <w:tcW w:w="1300" w:type="dxa"/>
          </w:tcPr>
          <w:p>
            <w:pPr>
              <w:spacing w:after="40" w:before="0" w:line="240" w:lineRule="auto"/>
              <w:jc w:val="left"/>
            </w:pPr>
            <w:r>
              <w:rPr>
                <w:rFonts w:ascii="Calibri" w:hAnsi="Calibri" w:cs="Arial"/>
                <w:b/>
                <w:color w:val="262626"/>
                <w:sz w:val="20"/>
                <w:szCs w:val="20"/>
              </w:rPr>
              <w:t xml:space="preserve">Ajustada</w:t>
            </w:r>
            <w:r>
              <w:rPr>
                <w:rFonts w:ascii="Calibri" w:hAnsi="Calibri" w:cs="Arial"/>
                <w:color w:val="262626"/>
                <w:sz w:val="20"/>
                <w:szCs w:val="20"/>
              </w:rPr>
              <w:t xml:space="preserve"> (tuvo retraso)</w:t>
            </w:r>
          </w:p>
        </w:tc>
        <w:tc>
          <w:tcPr>
            <w:tcW w:w="3900" w:type="dxa"/>
          </w:tcPr>
          <w:p>
            <w:pPr>
              <w:spacing w:after="40" w:before="0" w:line="240" w:lineRule="auto"/>
              <w:jc w:val="left"/>
            </w:pPr>
            <w:r>
              <w:rPr>
                <w:rFonts w:ascii="Calibri" w:hAnsi="Calibri" w:cs="Arial"/>
                <w:color w:val="262626"/>
                <w:sz w:val="20"/>
                <w:szCs w:val="20"/>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40" w:lineRule="auto"/>
        <w:jc w:val="both"/>
      </w:pPr>
      <w:r>
        <w:rPr>
          <w:rFonts w:ascii="Calibri" w:hAnsi="Calibri" w:cs="Arial"/>
          <w:i/>
          <w:color w:val="1F3864"/>
          <w:sz w:val="22"/>
          <w:szCs w:val="22"/>
        </w:rPr>
        <w:t xml:space="preserve">Estados según la plantilla: En curso / Con retraso / No iniciado / Completado / Ajustada. Responsable único: proyecto APT individual.</w:t>
      </w:r>
    </w:p>
    <w:p>
      <w:pPr>
        <w:sectPr w:rsidR="0003309E" w:rsidRPr="0003309E">
          <w:headerReference w:type="default" r:id="rId10"/>
          <w:footerReference w:type="default" r:id="rIdFtr1"/>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40"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40" w:lineRule="auto"/>
              <w:jc w:val="both"/>
            </w:pPr>
            <w:r>
              <w:rPr>
                <w:rFonts w:ascii="Calibri" w:hAnsi="Calibri" w:cs="Arial"/>
                <w:b/>
                <w:color w:val="262626"/>
                <w:sz w:val="20"/>
                <w:szCs w:val="20"/>
              </w:rPr>
              <w:t xml:space="preserve">Facilitadores:</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40"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40" w:lineRule="auto"/>
                    <w:jc w:val="center"/>
                  </w:pPr>
                  <w:r>
                    <w:rPr>
                      <w:rFonts w:ascii="Calibri" w:hAnsi="Calibri" w:cs="Arial"/>
                      <w:b/>
                      <w:color w:val="1F3864"/>
                      <w:sz w:val="20"/>
                      <w:szCs w:val="20"/>
                    </w:rPr>
                    <w:t xml:space="preserve">Dificultad</w:t>
                  </w:r>
                </w:p>
              </w:tc>
              <w:tc>
                <w:tcPr>
                  <w:tcW w:w="4300" w:type="dxa"/>
                  <w:shd w:val="clear" w:color="auto" w:fill="D9E2F3"/>
                </w:tcPr>
                <w:p>
                  <w:pPr>
                    <w:spacing w:after="40" w:before="0" w:line="240" w:lineRule="auto"/>
                    <w:jc w:val="center"/>
                  </w:pPr>
                  <w:r>
                    <w:rPr>
                      <w:rFonts w:ascii="Calibri" w:hAnsi="Calibri" w:cs="Arial"/>
                      <w:b/>
                      <w:color w:val="1F3864"/>
                      <w:sz w:val="20"/>
                      <w:szCs w:val="20"/>
                    </w:rPr>
                    <w:t xml:space="preserve">Acción tomada o planificada</w:t>
                  </w:r>
                </w:p>
              </w:tc>
            </w:tr>
            <w:tr>
              <w:tc>
                <w:tcPr>
                  <w:tcW w:w="3900" w:type="dxa"/>
                </w:tcPr>
                <w:p>
                  <w:pPr>
                    <w:spacing w:after="40" w:before="0" w:line="240" w:lineRule="auto"/>
                    <w:jc w:val="left"/>
                  </w:pPr>
                  <w:r>
                    <w:rPr>
                      <w:rFonts w:ascii="Calibri" w:hAnsi="Calibri" w:cs="Arial"/>
                      <w:color w:val="262626"/>
                      <w:sz w:val="20"/>
                      <w:szCs w:val="20"/>
                    </w:rPr>
                    <w:t xml:space="preserve">Incorporación tardía a la asignatura (19/08, una semana después del inicio).</w:t>
                  </w:r>
                </w:p>
              </w:tc>
              <w:tc>
                <w:tcPr>
                  <w:tcW w:w="4300" w:type="dxa"/>
                </w:tcPr>
                <w:p>
                  <w:pPr>
                    <w:spacing w:after="40" w:before="0" w:line="240" w:lineRule="auto"/>
                    <w:jc w:val="left"/>
                  </w:pPr>
                  <w:r>
                    <w:rPr>
                      <w:rFonts w:ascii="Calibri" w:hAnsi="Calibri" w:cs="Arial"/>
                      <w:color w:val="262626"/>
                      <w:sz w:val="20"/>
                      <w:szCs w:val="20"/>
                    </w:rPr>
                    <w:t xml:space="preserve">Creación inmediata del repositorio y priorización del backlog en el flujo crítico (caídas y emergencias).</w:t>
                  </w:r>
                </w:p>
              </w:tc>
            </w:tr>
            <w:tr>
              <w:tc>
                <w:tcPr>
                  <w:tcW w:w="3900" w:type="dxa"/>
                </w:tcPr>
                <w:p>
                  <w:pPr>
                    <w:spacing w:after="40" w:before="0" w:line="240" w:lineRule="auto"/>
                    <w:jc w:val="left"/>
                  </w:pPr>
                  <w:r>
                    <w:rPr>
                      <w:rFonts w:ascii="Calibri" w:hAnsi="Calibri" w:cs="Arial"/>
                      <w:color w:val="262626"/>
                      <w:sz w:val="20"/>
                      <w:szCs w:val="20"/>
                    </w:rPr>
                    <w:t xml:space="preserve">Carga laboral en turnos rotativos.</w:t>
                  </w:r>
                </w:p>
              </w:tc>
              <w:tc>
                <w:tcPr>
                  <w:tcW w:w="4300" w:type="dxa"/>
                </w:tcPr>
                <w:p>
                  <w:pPr>
                    <w:spacing w:after="40" w:before="0" w:line="240" w:lineRule="auto"/>
                    <w:jc w:val="left"/>
                  </w:pPr>
                  <w:r>
                    <w:rPr>
                      <w:rFonts w:ascii="Calibri" w:hAnsi="Calibri" w:cs="Arial"/>
                      <w:color w:val="262626"/>
                      <w:sz w:val="20"/>
                      <w:szCs w:val="20"/>
                    </w:rPr>
                    <w:t xml:space="preserve">Organización del trabajo mediante bloques fijos concentrados en los días libres.</w:t>
                  </w:r>
                </w:p>
              </w:tc>
            </w:tr>
            <w:tr>
              <w:tc>
                <w:tcPr>
                  <w:tcW w:w="3900" w:type="dxa"/>
                </w:tcPr>
                <w:p>
                  <w:pPr>
                    <w:spacing w:after="40" w:before="0" w:line="240" w:lineRule="auto"/>
                    <w:jc w:val="left"/>
                  </w:pPr>
                  <w:r>
                    <w:rPr>
                      <w:rFonts w:ascii="Calibri" w:hAnsi="Calibri" w:cs="Arial"/>
                      <w:color w:val="262626"/>
                      <w:sz w:val="20"/>
                      <w:szCs w:val="20"/>
                    </w:rPr>
                    <w:t xml:space="preserve">El proveedor de internet bloquea el puerto 5432 de PostgreSQL.</w:t>
                  </w:r>
                </w:p>
              </w:tc>
              <w:tc>
                <w:tcPr>
                  <w:tcW w:w="4300" w:type="dxa"/>
                </w:tcPr>
                <w:p>
                  <w:pPr>
                    <w:spacing w:after="40" w:before="0" w:line="240" w:lineRule="auto"/>
                    <w:jc w:val="left"/>
                  </w:pPr>
                  <w:r>
                    <w:rPr>
                      <w:rFonts w:ascii="Calibri" w:hAnsi="Calibri" w:cs="Arial"/>
                      <w:color w:val="262626"/>
                      <w:sz w:val="20"/>
                      <w:szCs w:val="20"/>
                    </w:rPr>
                    <w:t xml:space="preserve">Cambio de Neon a Supabase con Session Pooler IPv4 (puerto 6543).</w:t>
                  </w:r>
                </w:p>
              </w:tc>
            </w:tr>
            <w:tr>
              <w:tc>
                <w:tcPr>
                  <w:tcW w:w="3900" w:type="dxa"/>
                </w:tcPr>
                <w:p>
                  <w:pPr>
                    <w:spacing w:after="40" w:before="0" w:line="240" w:lineRule="auto"/>
                    <w:jc w:val="left"/>
                  </w:pPr>
                  <w:r>
                    <w:rPr>
                      <w:rFonts w:ascii="Calibri" w:hAnsi="Calibri" w:cs="Arial"/>
                      <w:color w:val="262626"/>
                      <w:sz w:val="20"/>
                      <w:szCs w:val="20"/>
                    </w:rPr>
                    <w:t xml:space="preserve">Límites de los planes gratuitos: Supabase se pausó por inactividad, Render suspende el servidor sin uso y 7 despliegues de Vercel fallaron sin detectarse.</w:t>
                  </w:r>
                </w:p>
              </w:tc>
              <w:tc>
                <w:tcPr>
                  <w:tcW w:w="4300" w:type="dxa"/>
                </w:tcPr>
                <w:p>
                  <w:pPr>
                    <w:spacing w:after="40" w:before="0" w:line="240" w:lineRule="auto"/>
                    <w:jc w:val="left"/>
                  </w:pPr>
                  <w:r>
                    <w:rPr>
                      <w:rFonts w:ascii="Calibri" w:hAnsi="Calibri" w:cs="Arial"/>
                      <w:color w:val="262626"/>
                      <w:sz w:val="20"/>
                      <w:szCs w:val="20"/>
                    </w:rPr>
                    <w:t xml:space="preserve">Reactivación de Supabase, corrección del build (commit 9b07078) y nueva práctica: verificar el despliegue después de cada push y abrir el panel cada semana.</w:t>
                  </w:r>
                </w:p>
              </w:tc>
            </w:tr>
            <w:tr>
              <w:tc>
                <w:tcPr>
                  <w:tcW w:w="3900" w:type="dxa"/>
                </w:tcPr>
                <w:p>
                  <w:pPr>
                    <w:spacing w:after="40" w:before="0" w:line="240" w:lineRule="auto"/>
                    <w:jc w:val="left"/>
                  </w:pPr>
                  <w:r>
                    <w:rPr>
                      <w:rFonts w:ascii="Calibri" w:hAnsi="Calibri" w:cs="Arial"/>
                      <w:color w:val="262626"/>
                      <w:sz w:val="20"/>
                      <w:szCs w:val="20"/>
                    </w:rPr>
                    <w:t xml:space="preserve">Latencia alta por la distancia entre servicios (Render en EE. UU. y Supabase en Brasil).</w:t>
                  </w:r>
                </w:p>
              </w:tc>
              <w:tc>
                <w:tcPr>
                  <w:tcW w:w="4300" w:type="dxa"/>
                </w:tcPr>
                <w:p>
                  <w:pPr>
                    <w:spacing w:after="40" w:before="0" w:line="240" w:lineRule="auto"/>
                    <w:jc w:val="left"/>
                  </w:pPr>
                  <w:r>
                    <w:rPr>
                      <w:rFonts w:ascii="Calibri" w:hAnsi="Calibri" w:cs="Arial"/>
                      <w:color w:val="262626"/>
                      <w:sz w:val="20"/>
                      <w:szCs w:val="20"/>
                    </w:rPr>
                    <w:t xml:space="preserve">Comparación medida en un entorno de prueba en AWS EC2 (216 ms). El despliegue en Oracle Cloud Santiago se intentó el 03 y el 05/10, pero la región no tenía capacidad para las máquinas gratuitas; se posterga.</w:t>
                  </w:r>
                </w:p>
              </w:tc>
            </w:tr>
            <w:tr>
              <w:tc>
                <w:tcPr>
                  <w:tcW w:w="3900" w:type="dxa"/>
                </w:tcPr>
                <w:p>
                  <w:pPr>
                    <w:spacing w:after="40" w:before="0" w:line="240" w:lineRule="auto"/>
                    <w:jc w:val="left"/>
                  </w:pPr>
                  <w:r>
                    <w:rPr>
                      <w:rFonts w:ascii="Calibri" w:hAnsi="Calibri" w:cs="Arial"/>
                      <w:color w:val="262626"/>
                      <w:sz w:val="20"/>
                      <w:szCs w:val="20"/>
                    </w:rPr>
                    <w:t xml:space="preserve">Brechas de seguridad detectadas al probar: la API no tenía autenticación, la tabla de sensores no tenía RLS y en AWS falta https.</w:t>
                  </w:r>
                </w:p>
              </w:tc>
              <w:tc>
                <w:tcPr>
                  <w:tcW w:w="4300" w:type="dxa"/>
                </w:tcPr>
                <w:p>
                  <w:pPr>
                    <w:spacing w:after="40" w:before="0" w:line="240" w:lineRule="auto"/>
                    <w:jc w:val="left"/>
                  </w:pPr>
                  <w:r>
                    <w:rPr>
                      <w:rFonts w:ascii="Calibri" w:hAnsi="Calibri" w:cs="Arial"/>
                      <w:color w:val="262626"/>
                      <w:sz w:val="20"/>
                      <w:szCs w:val="20"/>
                    </w:rPr>
                    <w:t xml:space="preserve">Corregidas el 05/10: clave de API para sensores (PS-01), Supabase Auth para el panel (PS-01b) y RLS en sensores (PI-03b). Pendiente: certificado TLS en AWS.</w:t>
                  </w:r>
                </w:p>
              </w:tc>
            </w:tr>
            <w:tr>
              <w:tc>
                <w:tcPr>
                  <w:tcW w:w="3900" w:type="dxa"/>
                </w:tcPr>
                <w:p>
                  <w:pPr>
                    <w:spacing w:after="40" w:before="0" w:line="240" w:lineRule="auto"/>
                    <w:jc w:val="left"/>
                  </w:pPr>
                  <w:r>
                    <w:rPr>
                      <w:rFonts w:ascii="Calibri" w:hAnsi="Calibri" w:cs="Arial"/>
                      <w:color w:val="262626"/>
                      <w:sz w:val="20"/>
                      <w:szCs w:val="20"/>
                    </w:rPr>
                    <w:t xml:space="preserve">Horas mezcladas en la base y 1.463 alertas atendidas solo en la tabla eventos.</w:t>
                  </w:r>
                </w:p>
              </w:tc>
              <w:tc>
                <w:tcPr>
                  <w:tcW w:w="4300" w:type="dxa"/>
                </w:tcPr>
                <w:p>
                  <w:pPr>
                    <w:spacing w:after="40" w:before="0" w:line="240" w:lineRule="auto"/>
                    <w:jc w:val="left"/>
                  </w:pPr>
                  <w:r>
                    <w:rPr>
                      <w:rFonts w:ascii="Calibri" w:hAnsi="Calibri" w:cs="Arial"/>
                      <w:color w:val="262626"/>
                      <w:sz w:val="20"/>
                      <w:szCs w:val="20"/>
                    </w:rPr>
                    <w:t xml:space="preserve">Respaldo y migraciones versionadas el 06/10, medidas antes y después (PI-06 y PI-07).</w:t>
                  </w:r>
                </w:p>
              </w:tc>
            </w:tr>
            <w:tr>
              <w:tc>
                <w:tcPr>
                  <w:tcW w:w="3900" w:type="dxa"/>
                </w:tcPr>
                <w:p>
                  <w:pPr>
                    <w:spacing w:after="40" w:before="0" w:line="240" w:lineRule="auto"/>
                    <w:jc w:val="left"/>
                  </w:pPr>
                  <w:r>
                    <w:rPr>
                      <w:rFonts w:ascii="Calibri" w:hAnsi="Calibri" w:cs="Arial"/>
                      <w:color w:val="262626"/>
                      <w:sz w:val="20"/>
                      <w:szCs w:val="20"/>
                    </w:rPr>
                    <w:t xml:space="preserve">Al activar la clave de API, la clave guardada no coincidía con la del servidor.</w:t>
                  </w:r>
                </w:p>
              </w:tc>
              <w:tc>
                <w:tcPr>
                  <w:tcW w:w="4300" w:type="dxa"/>
                </w:tcPr>
                <w:p>
                  <w:pPr>
                    <w:spacing w:after="40" w:before="0" w:line="240" w:lineRule="auto"/>
                    <w:jc w:val="left"/>
                  </w:pPr>
                  <w:r>
                    <w:rPr>
                      <w:rFonts w:ascii="Calibri" w:hAnsi="Calibri" w:cs="Arial"/>
                      <w:color w:val="262626"/>
                      <w:sz w:val="20"/>
                      <w:szCs w:val="20"/>
                    </w:rPr>
                    <w:t xml:space="preserve">Diagnóstico con una huella SHA-256 parcial publicada en /api/health, sin exponer la clave, y reemplazo por una clave nueva.</w:t>
                  </w:r>
                </w:p>
              </w:tc>
            </w:tr>
            <w:tr>
              <w:tc>
                <w:tcPr>
                  <w:tcW w:w="3900" w:type="dxa"/>
                </w:tcPr>
                <w:p>
                  <w:pPr>
                    <w:spacing w:after="40" w:before="0" w:line="240" w:lineRule="auto"/>
                    <w:jc w:val="left"/>
                  </w:pPr>
                  <w:r>
                    <w:rPr>
                      <w:rFonts w:ascii="Calibri" w:hAnsi="Calibri" w:cs="Arial"/>
                      <w:color w:val="262626"/>
                      <w:sz w:val="20"/>
                      <w:szCs w:val="20"/>
                    </w:rPr>
                    <w:t xml:space="preserve">Obsidian no disponible con la cuenta institucional.</w:t>
                  </w:r>
                </w:p>
              </w:tc>
              <w:tc>
                <w:tcPr>
                  <w:tcW w:w="4300" w:type="dxa"/>
                </w:tcPr>
                <w:p>
                  <w:pPr>
                    <w:spacing w:after="40" w:before="0" w:line="240" w:lineRule="auto"/>
                    <w:jc w:val="left"/>
                  </w:pPr>
                  <w:r>
                    <w:rPr>
                      <w:rFonts w:ascii="Calibri" w:hAnsi="Calibri" w:cs="Arial"/>
                      <w:color w:val="262626"/>
                      <w:sz w:val="20"/>
                      <w:szCs w:val="20"/>
                    </w:rPr>
                    <w:t xml:space="preserve">Registro del trabajo dentro del repositorio GitHub.</w:t>
                  </w:r>
                </w:p>
              </w:tc>
            </w:tr>
          </w:tbl>
          <w:p>
            <w:pPr>
              <w:spacing w:after="100" w:before="0" w:line="240"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40" w:lineRule="auto"/>
              <w:jc w:val="left"/>
            </w:pPr>
            <w:r>
              <w:rPr>
                <w:rFonts w:ascii="Calibri" w:hAnsi="Calibri" w:cs="Arial"/>
                <w:b/>
                <w:color w:val="1F3864"/>
                <w:sz w:val="20"/>
                <w:szCs w:val="20"/>
              </w:rPr>
              <w:t xml:space="preserve">Actividades ajustadas o eliminadas</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y postergada):</w:t>
            </w:r>
            <w:r>
              <w:rPr>
                <w:rFonts w:ascii="Calibri" w:hAnsi="Calibri" w:cs="Arial"/>
                <w:color w:val="262626"/>
                <w:sz w:val="20"/>
                <w:szCs w:val="20"/>
              </w:rPr>
              <w:t xml:space="preserve"> a partir de la comparación de latencias, busca acercar el servidor a los usuarios en Chile, con https y sin costo. Se intentó el 03 y el 05/10 sin capacidad gratuita disponible en la región; se reintentará cuando Oracle confirme la cuenta de pago por uso.</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Seguridad de la API (agregada):</w:t>
            </w:r>
            <w:r>
              <w:rPr>
                <w:rFonts w:ascii="Calibri" w:hAnsi="Calibri" w:cs="Arial"/>
                <w:color w:val="262626"/>
                <w:sz w:val="20"/>
                <w:szCs w:val="20"/>
              </w:rPr>
              <w:t xml:space="preserve"> clave de API para los sensores e inicio de sesión del cuidador con Supabase Auth, guardados como variables de entorno y nunca en el repositorio.</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Regla de la puerta principal (ajustada):</w:t>
            </w:r>
            <w:r>
              <w:rPr>
                <w:rFonts w:ascii="Calibri" w:hAnsi="Calibri" w:cs="Arial"/>
                <w:color w:val="262626"/>
                <w:sz w:val="20"/>
                <w:szCs w:val="20"/>
              </w:rPr>
              <w:t xml:space="preserve"> pasó del simulador al backend y alerta solo de noche o si la puerta queda abierta 10 minutos, para reducir falsas alarmas.</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Rediseño de la base de datos (adelantado):</w:t>
            </w:r>
            <w:r>
              <w:rPr>
                <w:rFonts w:ascii="Calibri" w:hAnsi="Calibri" w:cs="Arial"/>
                <w:color w:val="262626"/>
                <w:sz w:val="20"/>
                <w:szCs w:val="20"/>
              </w:rPr>
              <w:t xml:space="preserve"> las etapas 1 y 3 de la ficha técnica 19, planificadas para el Sprint 4, se ejecutaron el 06/10: migraciones versionadas, fechas con zona horaria y alertas como fuente única de la atención.</w:t>
            </w:r>
          </w:p>
          <w:p>
            <w:pPr>
              <w:spacing w:after="100" w:before="0" w:line="240"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40"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40" w:lineRule="auto"/>
                    <w:jc w:val="center"/>
                  </w:pPr>
                  <w:r>
                    <w:rPr>
                      <w:rFonts w:ascii="Calibri" w:hAnsi="Calibri" w:cs="Arial"/>
                      <w:b/>
                      <w:color w:val="1F3864"/>
                      <w:sz w:val="20"/>
                      <w:szCs w:val="20"/>
                    </w:rPr>
                    <w:t xml:space="preserve">Actividad</w:t>
                  </w:r>
                </w:p>
              </w:tc>
              <w:tc>
                <w:tcPr>
                  <w:tcW w:w="2500" w:type="dxa"/>
                  <w:shd w:val="clear" w:color="auto" w:fill="D9E2F3"/>
                </w:tcPr>
                <w:p>
                  <w:pPr>
                    <w:spacing w:after="40" w:before="0" w:line="240" w:lineRule="auto"/>
                    <w:jc w:val="center"/>
                  </w:pPr>
                  <w:r>
                    <w:rPr>
                      <w:rFonts w:ascii="Calibri" w:hAnsi="Calibri" w:cs="Arial"/>
                      <w:b/>
                      <w:color w:val="1F3864"/>
                      <w:sz w:val="20"/>
                      <w:szCs w:val="20"/>
                    </w:rPr>
                    <w:t xml:space="preserve">Motivo</w:t>
                  </w:r>
                </w:p>
              </w:tc>
              <w:tc>
                <w:tcPr>
                  <w:tcW w:w="3200" w:type="dxa"/>
                  <w:shd w:val="clear" w:color="auto" w:fill="D9E2F3"/>
                </w:tcPr>
                <w:p>
                  <w:pPr>
                    <w:spacing w:after="40" w:before="0" w:line="240" w:lineRule="auto"/>
                    <w:jc w:val="center"/>
                  </w:pPr>
                  <w:r>
                    <w:rPr>
                      <w:rFonts w:ascii="Calibri" w:hAnsi="Calibri" w:cs="Arial"/>
                      <w:b/>
                      <w:color w:val="1F3864"/>
                      <w:sz w:val="20"/>
                      <w:szCs w:val="20"/>
                    </w:rPr>
                    <w:t xml:space="preserve">Estrategia</w:t>
                  </w:r>
                </w:p>
              </w:tc>
            </w:tr>
            <w:tr>
              <w:tc>
                <w:tcPr>
                  <w:tcW w:w="2500" w:type="dxa"/>
                </w:tcPr>
                <w:p>
                  <w:pPr>
                    <w:spacing w:after="40" w:before="0" w:line="240" w:lineRule="auto"/>
                    <w:jc w:val="left"/>
                  </w:pPr>
                  <w:r>
                    <w:rPr>
                      <w:rFonts w:ascii="Calibri" w:hAnsi="Calibri" w:cs="Arial"/>
                      <w:color w:val="262626"/>
                      <w:sz w:val="20"/>
                      <w:szCs w:val="20"/>
                    </w:rPr>
                    <w:t xml:space="preserve">Despliegue en Oracle Cloud Santiago</w:t>
                  </w:r>
                </w:p>
              </w:tc>
              <w:tc>
                <w:tcPr>
                  <w:tcW w:w="2500" w:type="dxa"/>
                </w:tcPr>
                <w:p>
                  <w:pPr>
                    <w:spacing w:after="40" w:before="0" w:line="240" w:lineRule="auto"/>
                    <w:jc w:val="left"/>
                  </w:pPr>
                  <w:r>
                    <w:rPr>
                      <w:rFonts w:ascii="Calibri" w:hAnsi="Calibri" w:cs="Arial"/>
                      <w:color w:val="262626"/>
                      <w:sz w:val="20"/>
                      <w:szCs w:val="20"/>
                    </w:rPr>
                    <w:t xml:space="preserve">Sin capacidad gratuita en la región (03 y 05/10).</w:t>
                  </w:r>
                </w:p>
              </w:tc>
              <w:tc>
                <w:tcPr>
                  <w:tcW w:w="3200" w:type="dxa"/>
                </w:tcPr>
                <w:p>
                  <w:pPr>
                    <w:spacing w:after="40" w:before="0" w:line="240" w:lineRule="auto"/>
                    <w:jc w:val="left"/>
                  </w:pPr>
                  <w:r>
                    <w:rPr>
                      <w:rFonts w:ascii="Calibri" w:hAnsi="Calibri" w:cs="Arial"/>
                      <w:color w:val="262626"/>
                      <w:sz w:val="20"/>
                      <w:szCs w:val="20"/>
                    </w:rPr>
                    <w:t xml:space="preserve">Reintentar al confirmarse la cuenta de pago por uso; si no hay capacidad, se documenta como hallazgo y se mantiene AWS EC2 como comparación.</w:t>
                  </w:r>
                </w:p>
              </w:tc>
            </w:tr>
            <w:tr>
              <w:tc>
                <w:tcPr>
                  <w:tcW w:w="2500" w:type="dxa"/>
                </w:tcPr>
                <w:p>
                  <w:pPr>
                    <w:spacing w:after="40" w:before="0" w:line="240" w:lineRule="auto"/>
                    <w:jc w:val="left"/>
                  </w:pPr>
                  <w:r>
                    <w:rPr>
                      <w:rFonts w:ascii="Calibri" w:hAnsi="Calibri" w:cs="Arial"/>
                      <w:color w:val="262626"/>
                      <w:sz w:val="20"/>
                      <w:szCs w:val="20"/>
                    </w:rPr>
                    <w:t xml:space="preserve">Sincronización con la nube al volver internet (OE1)</w:t>
                  </w:r>
                </w:p>
              </w:tc>
              <w:tc>
                <w:tcPr>
                  <w:tcW w:w="2500" w:type="dxa"/>
                </w:tcPr>
                <w:p>
                  <w:pPr>
                    <w:spacing w:after="40" w:before="0" w:line="240" w:lineRule="auto"/>
                    <w:jc w:val="left"/>
                  </w:pPr>
                  <w:r>
                    <w:rPr>
                      <w:rFonts w:ascii="Calibri" w:hAnsi="Calibri" w:cs="Arial"/>
                      <w:color w:val="262626"/>
                      <w:sz w:val="20"/>
                      <w:szCs w:val="20"/>
                    </w:rPr>
                    <w:t xml:space="preserve">Detectada en PR-03: el modo borde no sube los eventos guardados.</w:t>
                  </w:r>
                </w:p>
              </w:tc>
              <w:tc>
                <w:tcPr>
                  <w:tcW w:w="3200" w:type="dxa"/>
                </w:tcPr>
                <w:p>
                  <w:pPr>
                    <w:spacing w:after="40" w:before="0" w:line="240" w:lineRule="auto"/>
                    <w:jc w:val="left"/>
                  </w:pPr>
                  <w:r>
                    <w:rPr>
                      <w:rFonts w:ascii="Calibri" w:hAnsi="Calibri" w:cs="Arial"/>
                      <w:color w:val="262626"/>
                      <w:sz w:val="20"/>
                      <w:szCs w:val="20"/>
                    </w:rPr>
                    <w:t xml:space="preserve">Sprint 5: guardar los eventos como pendientes y reenviarlos a Supabase.</w:t>
                  </w:r>
                </w:p>
              </w:tc>
            </w:tr>
            <w:tr>
              <w:tc>
                <w:tcPr>
                  <w:tcW w:w="2500" w:type="dxa"/>
                </w:tcPr>
                <w:p>
                  <w:pPr>
                    <w:spacing w:after="40" w:before="0" w:line="240" w:lineRule="auto"/>
                    <w:jc w:val="left"/>
                  </w:pPr>
                  <w:r>
                    <w:rPr>
                      <w:rFonts w:ascii="Calibri" w:hAnsi="Calibri" w:cs="Arial"/>
                      <w:color w:val="262626"/>
                      <w:sz w:val="20"/>
                      <w:szCs w:val="20"/>
                    </w:rPr>
                    <w:t xml:space="preserve">Protección de las consultas de lectura de la API</w:t>
                  </w:r>
                </w:p>
              </w:tc>
              <w:tc>
                <w:tcPr>
                  <w:tcW w:w="2500" w:type="dxa"/>
                </w:tcPr>
                <w:p>
                  <w:pPr>
                    <w:spacing w:after="40" w:before="0" w:line="240" w:lineRule="auto"/>
                    <w:jc w:val="left"/>
                  </w:pPr>
                  <w:r>
                    <w:rPr>
                      <w:rFonts w:ascii="Calibri" w:hAnsi="Calibri" w:cs="Arial"/>
                      <w:color w:val="262626"/>
                      <w:sz w:val="20"/>
                      <w:szCs w:val="20"/>
                    </w:rPr>
                    <w:t xml:space="preserve">Las escrituras ya están protegidas; las lecturas dependen de CORS.</w:t>
                  </w:r>
                </w:p>
              </w:tc>
              <w:tc>
                <w:tcPr>
                  <w:tcW w:w="3200" w:type="dxa"/>
                </w:tcPr>
                <w:p>
                  <w:pPr>
                    <w:spacing w:after="40" w:before="0" w:line="240" w:lineRule="auto"/>
                    <w:jc w:val="left"/>
                  </w:pPr>
                  <w:r>
                    <w:rPr>
                      <w:rFonts w:ascii="Calibri" w:hAnsi="Calibri" w:cs="Arial"/>
                      <w:color w:val="262626"/>
                      <w:sz w:val="20"/>
                      <w:szCs w:val="20"/>
                    </w:rPr>
                    <w:t xml:space="preserve">Sprint 5, con la misma sesión del cuidador.</w:t>
                  </w:r>
                </w:p>
              </w:tc>
            </w:tr>
            <w:tr>
              <w:tc>
                <w:tcPr>
                  <w:tcW w:w="2500" w:type="dxa"/>
                </w:tcPr>
                <w:p>
                  <w:pPr>
                    <w:spacing w:after="40" w:before="0" w:line="240" w:lineRule="auto"/>
                    <w:jc w:val="left"/>
                  </w:pPr>
                  <w:r>
                    <w:rPr>
                      <w:rFonts w:ascii="Calibri" w:hAnsi="Calibri" w:cs="Arial"/>
                      <w:color w:val="262626"/>
                      <w:sz w:val="20"/>
                      <w:szCs w:val="20"/>
                    </w:rPr>
                    <w:t xml:space="preserve">Prueba de carga con Locust (PR-04)</w:t>
                  </w:r>
                </w:p>
              </w:tc>
              <w:tc>
                <w:tcPr>
                  <w:tcW w:w="2500" w:type="dxa"/>
                </w:tcPr>
                <w:p>
                  <w:pPr>
                    <w:spacing w:after="40" w:before="0" w:line="240" w:lineRule="auto"/>
                    <w:jc w:val="left"/>
                  </w:pPr>
                  <w:r>
                    <w:rPr>
                      <w:rFonts w:ascii="Calibri" w:hAnsi="Calibri" w:cs="Arial"/>
                      <w:color w:val="262626"/>
                      <w:sz w:val="20"/>
                      <w:szCs w:val="20"/>
                    </w:rPr>
                    <w:t xml:space="preserve">Planificada para el Sprint 5.</w:t>
                  </w:r>
                </w:p>
              </w:tc>
              <w:tc>
                <w:tcPr>
                  <w:tcW w:w="3200" w:type="dxa"/>
                </w:tcPr>
                <w:p>
                  <w:pPr>
                    <w:spacing w:after="40" w:before="0" w:line="240" w:lineRule="auto"/>
                    <w:jc w:val="left"/>
                  </w:pPr>
                  <w:r>
                    <w:rPr>
                      <w:rFonts w:ascii="Calibri" w:hAnsi="Calibri" w:cs="Arial"/>
                      <w:color w:val="262626"/>
                      <w:sz w:val="20"/>
                      <w:szCs w:val="20"/>
                    </w:rPr>
                    <w:t xml:space="preserve">Se mantiene en S13–S15.</w:t>
                  </w:r>
                </w:p>
              </w:tc>
            </w:tr>
            <w:tr>
              <w:tc>
                <w:tcPr>
                  <w:tcW w:w="2500" w:type="dxa"/>
                </w:tcPr>
                <w:p>
                  <w:pPr>
                    <w:spacing w:after="40" w:before="0" w:line="240" w:lineRule="auto"/>
                    <w:jc w:val="left"/>
                  </w:pPr>
                  <w:r>
                    <w:rPr>
                      <w:rFonts w:ascii="Calibri" w:hAnsi="Calibri" w:cs="Arial"/>
                      <w:color w:val="262626"/>
                      <w:sz w:val="20"/>
                      <w:szCs w:val="20"/>
                    </w:rPr>
                    <w:t xml:space="preserve">Escala SUS (HU-12)</w:t>
                  </w:r>
                </w:p>
              </w:tc>
              <w:tc>
                <w:tcPr>
                  <w:tcW w:w="2500" w:type="dxa"/>
                </w:tcPr>
                <w:p>
                  <w:pPr>
                    <w:spacing w:after="40" w:before="0" w:line="240" w:lineRule="auto"/>
                    <w:jc w:val="left"/>
                  </w:pPr>
                  <w:r>
                    <w:rPr>
                      <w:rFonts w:ascii="Calibri" w:hAnsi="Calibri" w:cs="Arial"/>
                      <w:color w:val="262626"/>
                      <w:sz w:val="20"/>
                      <w:szCs w:val="20"/>
                    </w:rPr>
                    <w:t xml:space="preserve">Planificada para el Sprint 6.</w:t>
                  </w:r>
                </w:p>
              </w:tc>
              <w:tc>
                <w:tcPr>
                  <w:tcW w:w="3200" w:type="dxa"/>
                </w:tcPr>
                <w:p>
                  <w:pPr>
                    <w:spacing w:after="40" w:before="0" w:line="240" w:lineRule="auto"/>
                    <w:jc w:val="left"/>
                  </w:pPr>
                  <w:r>
                    <w:rPr>
                      <w:rFonts w:ascii="Calibri" w:hAnsi="Calibri" w:cs="Arial"/>
                      <w:color w:val="262626"/>
                      <w:sz w:val="20"/>
                      <w:szCs w:val="20"/>
                    </w:rPr>
                    <w:t xml:space="preserve">Convocatoria de 5 a 10 cuidadores desde S13.</w:t>
                  </w:r>
                </w:p>
              </w:tc>
            </w:tr>
            <w:tr>
              <w:tc>
                <w:tcPr>
                  <w:tcW w:w="2500" w:type="dxa"/>
                </w:tcPr>
                <w:p>
                  <w:pPr>
                    <w:spacing w:after="40" w:before="0" w:line="240" w:lineRule="auto"/>
                    <w:jc w:val="left"/>
                  </w:pPr>
                  <w:r>
                    <w:rPr>
                      <w:rFonts w:ascii="Calibri" w:hAnsi="Calibri" w:cs="Arial"/>
                      <w:color w:val="262626"/>
                      <w:sz w:val="20"/>
                      <w:szCs w:val="20"/>
                    </w:rPr>
                    <w:t xml:space="preserve">Bitácora (con retraso)</w:t>
                  </w:r>
                </w:p>
              </w:tc>
              <w:tc>
                <w:tcPr>
                  <w:tcW w:w="2500" w:type="dxa"/>
                </w:tcPr>
                <w:p>
                  <w:pPr>
                    <w:spacing w:after="40" w:before="0" w:line="240" w:lineRule="auto"/>
                    <w:jc w:val="left"/>
                  </w:pPr>
                  <w:r>
                    <w:rPr>
                      <w:rFonts w:ascii="Calibri" w:hAnsi="Calibri" w:cs="Arial"/>
                      <w:color w:val="262626"/>
                      <w:sz w:val="20"/>
                      <w:szCs w:val="20"/>
                    </w:rPr>
                    <w:t xml:space="preserve">Herramienta no disponible.</w:t>
                  </w:r>
                </w:p>
              </w:tc>
              <w:tc>
                <w:tcPr>
                  <w:tcW w:w="3200" w:type="dxa"/>
                </w:tcPr>
                <w:p>
                  <w:pPr>
                    <w:spacing w:after="40" w:before="0" w:line="240" w:lineRule="auto"/>
                    <w:jc w:val="left"/>
                  </w:pPr>
                  <w:r>
                    <w:rPr>
                      <w:rFonts w:ascii="Calibri" w:hAnsi="Calibri" w:cs="Arial"/>
                      <w:color w:val="262626"/>
                      <w:sz w:val="20"/>
                      <w:szCs w:val="20"/>
                    </w:rPr>
                    <w:t xml:space="preserve">Resuelto: registro reconstruido el 01/10 y actualización semanal desde el 02/10.</w:t>
                  </w:r>
                </w:p>
              </w:tc>
            </w:tr>
          </w:tbl>
          <w:p>
            <w:pPr>
              <w:spacing w:after="100" w:before="80" w:line="240" w:lineRule="auto"/>
              <w:jc w:val="both"/>
            </w:pPr>
            <w:r>
              <w:rPr>
                <w:rFonts w:ascii="Calibri" w:hAnsi="Calibri" w:cs="Arial"/>
                <w:b/>
                <w:color w:val="262626"/>
                <w:sz w:val="20"/>
                <w:szCs w:val="20"/>
              </w:rPr>
              <w:t xml:space="preserve">Completadas entre el 03 y el 05/10:</w:t>
            </w:r>
            <w:r>
              <w:rPr>
                <w:rFonts w:ascii="Calibri" w:hAnsi="Calibri" w:cs="Arial"/>
                <w:color w:val="262626"/>
                <w:sz w:val="20"/>
                <w:szCs w:val="20"/>
              </w:rPr>
              <w:t xml:space="preserve"> PR-03 (10/10), PR-02 (30/30), PI-05 (8/8), PS-01 y PS-01b (3/3 en producción).</w:t>
            </w:r>
          </w:p>
        </w:tc>
      </w:tr>
    </w:tbl>
    <w:p>
      <w:pPr>
        <w:spacing w:before="0" w:after="0" w:line="20" w:lineRule="exact"/>
      </w:pPr>
      <w:r>
        <w:rPr>
          <w:rFonts w:ascii="Calibri" w:hAnsi="Calibri" w:cs="Calibri"/>
          <w:color w:val="262626"/>
          <w:sz w:val="2"/>
          <w:szCs w:val="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40" w:lineRule="auto"/>
              <w:jc w:val="left"/>
            </w:pPr>
            <w:r>
              <w:rPr>
                <w:rFonts w:ascii="Calibri" w:hAnsi="Calibri" w:cs="Arial"/>
                <w:b/>
                <w:color w:val="1F3864"/>
                <w:sz w:val="28"/>
                <w:szCs w:val="28"/>
              </w:rPr>
              <w:t xml:space="preserve">4. Conclusions</w:t>
            </w:r>
          </w:p>
        </w:tc>
      </w:tr>
    </w:tbl>
    <w:p>
      <w:pPr>
        <w:spacing w:after="100" w:before="120" w:line="240" w:lineRule="auto"/>
        <w:jc w:val="both"/>
      </w:pPr>
      <w:r>
        <w:rPr>
          <w:rFonts w:ascii="Calibri" w:hAnsi="Calibri" w:cs="Arial"/>
          <w:color w:val="262626"/>
          <w:sz w:val="22"/>
          <w:szCs w:val="22"/>
        </w:rPr>
        <w:t xml:space="preserve">The DomoVida prototype already covers the critical flow defined in Phase 1: fall, detection, alert and caregiver response. OE1 and OE2 show a high degree of implementation and validation within the current prototype scope: the edge mode kept working without internet (10/10), the FHIR Patient resource was correctly structured and validated using the fhir.resources library (8/8), and both the sensors and the caregiver are now authenticated (3/3 in production). However, automatic synchronization of locally stored edge events when the connection is restored remains pending. OE3 is in progress: 100% of the push notifications reached the phone (30/30), and the usability evaluation (SUS) is pending as planned.</w:t>
      </w:r>
    </w:p>
    <w:p>
      <w:pPr>
        <w:spacing w:after="100" w:before="0" w:line="240" w:lineRule="auto"/>
        <w:jc w:val="both"/>
      </w:pPr>
      <w:r>
        <w:rPr>
          <w:rFonts w:ascii="Calibri" w:hAnsi="Calibri" w:cs="Arial"/>
          <w:color w:val="262626"/>
          <w:sz w:val="22"/>
          <w:szCs w:val="22"/>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Instead of remaining hidden, the authentication gap was closed with an API key for the sensors and caregiver login, and a table without RLS found by the Supabase security advisor was protected the same day. Documenting the data model revealed another hidden problem: mixed time zones and 1,463 alerts whose response was recorded in only one table. Both were fixed with versioned database migrations, measured before and after (PI-06 and PI-07).</w:t>
      </w:r>
    </w:p>
    <w:p>
      <w:pPr>
        <w:spacing w:after="100" w:before="0" w:line="240" w:lineRule="auto"/>
        <w:jc w:val="both"/>
      </w:pPr>
      <w:r>
        <w:rPr>
          <w:rFonts w:ascii="Calibri" w:hAnsi="Calibri" w:cs="Arial"/>
          <w:color w:val="262626"/>
          <w:sz w:val="22"/>
          <w:szCs w:val="22"/>
        </w:rPr>
        <w:t xml:space="preserve">The main adjustments for the next stage are to deploy the backend and the database in the same region (Oracle Cloud Santiago, postponed due to lack of free capacity), synchronize edge events with the cloud when the connection returns, run the load test, and keep the agile documentation up to date every week.</w:t>
      </w:r>
    </w:p>
    <w:p>
      <w:pPr>
        <w:spacing w:before="0" w:after="0" w:line="20" w:lineRule="exact"/>
      </w:pPr>
      <w:r>
        <w:rPr>
          <w:rFonts w:ascii="Calibri" w:hAnsi="Calibri" w:cs="Calibri"/>
          <w:color w:val="262626"/>
          <w:sz w:val="2"/>
          <w:szCs w:val="2"/>
        </w:rPr>
        <w:br w:type="page"/>
      </w:r>
    </w:p>
    <w:p>
      <w:pPr>
        <w:spacing w:after="100" w:before="0" w:line="240"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40" w:lineRule="auto"/>
              <w:jc w:val="left"/>
            </w:pPr>
            <w:r>
              <w:rPr>
                <w:rFonts w:ascii="Calibri" w:hAnsi="Calibri" w:cs="Arial"/>
                <w:b/>
                <w:color w:val="1F3864"/>
                <w:sz w:val="28"/>
                <w:szCs w:val="28"/>
              </w:rPr>
              <w:t xml:space="preserve">5. Reflection</w:t>
            </w:r>
          </w:p>
        </w:tc>
      </w:tr>
    </w:tbl>
    <w:p>
      <w:pPr>
        <w:spacing w:after="100" w:before="120" w:line="240" w:lineRule="auto"/>
        <w:jc w:val="both"/>
      </w:pPr>
      <w:r>
        <w:rPr>
          <w:rFonts w:ascii="Calibri" w:hAnsi="Calibri" w:cs="Arial"/>
          <w:color w:val="262626"/>
          <w:sz w:val="22"/>
          <w:szCs w:val="22"/>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40" w:lineRule="auto"/>
        <w:jc w:val="both"/>
      </w:pPr>
      <w:r>
        <w:rPr>
          <w:rFonts w:ascii="Calibri" w:hAnsi="Calibri" w:cs="Arial"/>
          <w:color w:val="262626"/>
          <w:sz w:val="22"/>
          <w:szCs w:val="22"/>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40" w:lineRule="auto"/>
        <w:jc w:val="both"/>
      </w:pPr>
      <w:r>
        <w:rPr>
          <w:rFonts w:ascii="Calibri" w:hAnsi="Calibri" w:cs="Arial"/>
          <w:color w:val="262626"/>
          <w:sz w:val="22"/>
          <w:szCs w:val="22"/>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40" w:lineRule="auto"/>
              <w:jc w:val="left"/>
            </w:pPr>
            <w:r>
              <w:rPr>
                <w:rFonts w:ascii="Calibri" w:hAnsi="Calibri" w:cs="Arial"/>
                <w:b/>
                <w:color w:val="1F3864"/>
                <w:sz w:val="28"/>
                <w:szCs w:val="28"/>
              </w:rPr>
              <w:t xml:space="preserve">6. Declaración de uso de inteligencia artificial</w:t>
            </w:r>
          </w:p>
        </w:tc>
      </w:tr>
    </w:tbl>
    <w:p>
      <w:pPr>
        <w:spacing w:before="0" w:after="120"/>
      </w:pPr>
    </w:p>
    <w:p>
      <w:pPr>
        <w:spacing w:before="0" w:after="120"/>
      </w:pPr>
      <w:r>
        <w:rPr>
          <w:rFonts w:ascii="Calibri" w:hAnsi="Calibri" w:cs="Calibri"/>
          <w:color w:val="262626"/>
          <w:sz w:val="22"/>
          <w:szCs w:val="22"/>
        </w:rPr>
        <w:t xml:space="preserve">En el desarrollo de este proyecto utilicé Claude (Anthropic, 2026) como asistente para proponer y revisar código, explicar conceptos técnicos, redactar borradores de documentación y diseñar diagramas. Todas las decisiones de diseño, alcance y prioridad, la ejecución de los cambios, las pruebas en producción y la validación de los resultados fueron realizadas por mí. Revisé y comprendí cada propuesta antes de incorporarla al proyecto, y soy responsable de su contenido.</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40" w:lineRule="auto"/>
              <w:jc w:val="left"/>
            </w:pPr>
            <w:r>
              <w:rPr>
                <w:rFonts w:ascii="Calibri" w:hAnsi="Calibri" w:cs="Arial"/>
                <w:b/>
                <w:color w:val="1F3864"/>
                <w:sz w:val="28"/>
                <w:szCs w:val="28"/>
              </w:rPr>
              <w:t xml:space="preserve">7. Referencias</w:t>
            </w:r>
          </w:p>
        </w:tc>
      </w:tr>
    </w:tbl>
    <w:p>
      <w:pPr>
        <w:spacing w:before="0" w:after="120"/>
      </w:pPr>
    </w:p>
    <w:p>
      <w:pPr>
        <w:spacing w:before="0" w:after="120"/>
        <w:ind w:left="567" w:hanging="567"/>
      </w:pPr>
      <w:r>
        <w:rPr>
          <w:rFonts w:ascii="Calibri" w:hAnsi="Calibri" w:cs="Calibri"/>
          <w:color w:val="262626"/>
          <w:sz w:val="22"/>
          <w:szCs w:val="22"/>
        </w:rPr>
        <w:t xml:space="preserve">Anthropic. (2026). Claude [Modelo de lenguaje de gran tamaño]. https://claude.ai</w:t>
      </w:r>
    </w:p>
    <w:p>
      <w:pPr>
        <w:spacing w:before="0" w:after="120"/>
        <w:ind w:left="567" w:hanging="567"/>
      </w:pPr>
      <w:r>
        <w:rPr>
          <w:rFonts w:ascii="Calibri" w:hAnsi="Calibri" w:cs="Calibri"/>
          <w:color w:val="262626"/>
          <w:sz w:val="22"/>
          <w:szCs w:val="22"/>
        </w:rPr>
        <w:t xml:space="preserve">Docker Inc. (2024). Docker documentation. https://docs.docker.com</w:t>
      </w:r>
    </w:p>
    <w:p>
      <w:pPr>
        <w:spacing w:before="0" w:after="120"/>
        <w:ind w:left="567" w:hanging="567"/>
      </w:pPr>
      <w:r>
        <w:rPr>
          <w:rFonts w:ascii="Calibri" w:hAnsi="Calibri" w:cs="Calibri"/>
          <w:color w:val="262626"/>
          <w:sz w:val="22"/>
          <w:szCs w:val="22"/>
        </w:rPr>
        <w:t xml:space="preserve">Fette, I., y Melnikov, A. (2011). The WebSocket Protocol (RFC 6455). Internet Engineering Task Force. https://www.rfc-editor.org/rfc/rfc6455</w:t>
      </w:r>
    </w:p>
    <w:p>
      <w:pPr>
        <w:spacing w:before="0" w:after="120"/>
        <w:ind w:left="567" w:hanging="567"/>
      </w:pPr>
      <w:r>
        <w:rPr>
          <w:rFonts w:ascii="Calibri" w:hAnsi="Calibri" w:cs="Calibri"/>
          <w:color w:val="262626"/>
          <w:sz w:val="22"/>
          <w:szCs w:val="22"/>
        </w:rPr>
        <w:t xml:space="preserve">Heckel, P. C. (2024). ntfy documentation. https://docs.ntfy.sh</w:t>
      </w:r>
    </w:p>
    <w:p>
      <w:pPr>
        <w:spacing w:before="0" w:after="120"/>
        <w:ind w:left="567" w:hanging="567"/>
      </w:pPr>
      <w:r>
        <w:rPr>
          <w:rFonts w:ascii="Calibri" w:hAnsi="Calibri" w:cs="Calibri"/>
          <w:color w:val="262626"/>
          <w:sz w:val="22"/>
          <w:szCs w:val="22"/>
        </w:rPr>
        <w:t xml:space="preserve">Hipp, D. R. (2024). SQLite documentation. https://www.sqlite.org/docs.html</w:t>
      </w:r>
    </w:p>
    <w:p>
      <w:pPr>
        <w:spacing w:before="0" w:after="120"/>
        <w:ind w:left="567" w:hanging="567"/>
      </w:pPr>
      <w:r>
        <w:rPr>
          <w:rFonts w:ascii="Calibri" w:hAnsi="Calibri" w:cs="Calibri"/>
          <w:color w:val="262626"/>
          <w:sz w:val="22"/>
          <w:szCs w:val="22"/>
        </w:rPr>
        <w:t xml:space="preserve">HL7 International. (2019). FHIR R4: Fast Healthcare Interoperability Resources (versión 4.0.1). https://hl7.org/fhir/R4/</w:t>
      </w:r>
    </w:p>
    <w:p>
      <w:pPr>
        <w:spacing w:before="0" w:after="120"/>
        <w:ind w:left="567" w:hanging="567"/>
      </w:pPr>
      <w:r>
        <w:rPr>
          <w:rFonts w:ascii="Calibri" w:hAnsi="Calibri" w:cs="Calibri"/>
          <w:color w:val="262626"/>
          <w:sz w:val="22"/>
          <w:szCs w:val="22"/>
        </w:rPr>
        <w:t xml:space="preserve">Meta Platforms. (2024). React documentation. https://react.dev</w:t>
      </w:r>
    </w:p>
    <w:p>
      <w:pPr>
        <w:spacing w:before="0" w:after="120"/>
        <w:ind w:left="567" w:hanging="567"/>
      </w:pPr>
      <w:r>
        <w:rPr>
          <w:rFonts w:ascii="Calibri" w:hAnsi="Calibri" w:cs="Calibri"/>
          <w:color w:val="262626"/>
          <w:sz w:val="22"/>
          <w:szCs w:val="22"/>
        </w:rPr>
        <w:t xml:space="preserve">National Institute of Standards and Technology. (2015). Secure Hash Standard (SHS) (FIPS PUB 180-4). https://doi.org/10.6028/NIST.FIPS.180-4</w:t>
      </w:r>
    </w:p>
    <w:p>
      <w:pPr>
        <w:spacing w:before="0" w:after="120"/>
        <w:ind w:left="567" w:hanging="567"/>
      </w:pPr>
      <w:r>
        <w:rPr>
          <w:rFonts w:ascii="Calibri" w:hAnsi="Calibri" w:cs="Calibri"/>
          <w:color w:val="262626"/>
          <w:sz w:val="22"/>
          <w:szCs w:val="22"/>
        </w:rPr>
        <w:t xml:space="preserve">Ramírez, S. (2023). FastAPI: documentación oficial. https://fastapi.tiangolo.com</w:t>
      </w:r>
    </w:p>
    <w:p>
      <w:pPr>
        <w:spacing w:before="0" w:after="120"/>
        <w:ind w:left="567" w:hanging="567"/>
      </w:pPr>
      <w:r>
        <w:rPr>
          <w:rFonts w:ascii="Calibri" w:hAnsi="Calibri" w:cs="Calibri"/>
          <w:color w:val="262626"/>
          <w:sz w:val="22"/>
          <w:szCs w:val="22"/>
        </w:rPr>
        <w:t xml:space="preserve">Regenstrief Institute. (2024). LOINC: Logical Observation Identifiers Names and Codes. https://loinc.org</w:t>
      </w:r>
    </w:p>
    <w:p>
      <w:pPr>
        <w:spacing w:before="0" w:after="120"/>
        <w:ind w:left="567" w:hanging="567"/>
      </w:pPr>
      <w:r>
        <w:rPr>
          <w:rFonts w:ascii="Calibri" w:hAnsi="Calibri" w:cs="Calibri"/>
          <w:color w:val="262626"/>
          <w:sz w:val="22"/>
          <w:szCs w:val="22"/>
        </w:rPr>
        <w:t xml:space="preserve">República de Chile. (2024). Ley N° 21.719: Regula la protección y el tratamiento de los datos personales y crea la Agencia de Protección de Datos Personales. Biblioteca del Congreso Nacional. https://www.bcn.cl/leychile/navegar?idNorma=1209272</w:t>
      </w:r>
    </w:p>
    <w:p>
      <w:pPr>
        <w:spacing w:before="0" w:after="120"/>
        <w:ind w:left="567" w:hanging="567"/>
      </w:pPr>
      <w:r>
        <w:rPr>
          <w:rFonts w:ascii="Calibri" w:hAnsi="Calibri" w:cs="Calibri"/>
          <w:color w:val="262626"/>
          <w:sz w:val="22"/>
          <w:szCs w:val="22"/>
        </w:rPr>
        <w:t xml:space="preserve">Schwaber, K., y Sutherland, J. (2020). La guía de Scrum: La guía definitiva de Scrum — Las reglas del juego. Scrum.org. https://scrumguides.org/docs/scrumguide/v2020/2020-Scrum-Guide-Spanish-Latin-South-American.pdf</w:t>
      </w:r>
    </w:p>
    <w:p>
      <w:pPr>
        <w:spacing w:before="0" w:after="120"/>
        <w:ind w:left="567" w:hanging="567"/>
      </w:pPr>
      <w:r>
        <w:rPr>
          <w:rFonts w:ascii="Calibri" w:hAnsi="Calibri" w:cs="Calibri"/>
          <w:color w:val="262626"/>
          <w:sz w:val="22"/>
          <w:szCs w:val="22"/>
        </w:rPr>
        <w:t xml:space="preserve">SNOMED International. (2024). SNOMED CT. https://www.snomed.org</w:t>
      </w:r>
    </w:p>
    <w:p>
      <w:pPr>
        <w:spacing w:before="0" w:after="120"/>
        <w:ind w:left="567" w:hanging="567"/>
      </w:pPr>
      <w:r>
        <w:rPr>
          <w:rFonts w:ascii="Calibri" w:hAnsi="Calibri" w:cs="Calibri"/>
          <w:color w:val="262626"/>
          <w:sz w:val="22"/>
          <w:szCs w:val="22"/>
        </w:rPr>
        <w:t xml:space="preserve">Supabase Inc. (2024). Supabase documentation. https://supabase.com/docs</w:t>
      </w:r>
    </w:p>
    <w:sectPr w:rsidR="0003309E" w:rsidRPr="0003309E">
      <w:headerReference w:type="default" r:id="rId10"/>
      <w:footerReference w:type="default" r:id="rIdFtr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http://schemas.openxmlformats.org/wordprocessingml/2006/main" xmlns:r="http://schemas.openxmlformats.org/officeDocument/2006/relationships">
  <w:p>
    <w:pP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 Id="rIdImg112" Type="http://schemas.openxmlformats.org/officeDocument/2006/relationships/image" Target="media/evid112.png"/><Relationship Id="rIdImg113" Type="http://schemas.openxmlformats.org/officeDocument/2006/relationships/image" Target="media/evid113.png"/><Relationship Id="rIdImg114" Type="http://schemas.openxmlformats.org/officeDocument/2006/relationships/image" Target="media/evid114.png"/><Relationship Id="rIdImg115" Type="http://schemas.openxmlformats.org/officeDocument/2006/relationships/image" Target="media/evid115.png"/><Relationship Id="rIdImg116" Type="http://schemas.openxmlformats.org/officeDocument/2006/relationships/image" Target="media/evid116.png"/><Relationship Id="rIdFtr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